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93" w:rsidRPr="00B134A4" w:rsidRDefault="00E14093" w:rsidP="00E14093">
      <w:pPr>
        <w:spacing w:before="0" w:after="0"/>
        <w:jc w:val="center"/>
        <w:rPr>
          <w:rFonts w:ascii="Sylfaen" w:hAnsi="Sylfaen"/>
          <w:b/>
          <w:color w:val="365F91"/>
          <w:sz w:val="32"/>
          <w:szCs w:val="32"/>
          <w:lang w:val="en-GB"/>
        </w:rPr>
      </w:pPr>
      <w:bookmarkStart w:id="0" w:name="_Toc373755219"/>
      <w:bookmarkStart w:id="1" w:name="_Toc373755568"/>
      <w:r w:rsidRPr="00B134A4">
        <w:rPr>
          <w:rFonts w:ascii="Sylfaen" w:hAnsi="Sylfaen"/>
          <w:b/>
          <w:color w:val="365F91"/>
          <w:sz w:val="32"/>
          <w:szCs w:val="32"/>
          <w:lang w:val="en-GB"/>
        </w:rPr>
        <w:t xml:space="preserve">Explanation of the fields of the database of household income and expenditure survey </w:t>
      </w:r>
      <w:bookmarkEnd w:id="0"/>
      <w:bookmarkEnd w:id="1"/>
    </w:p>
    <w:p w:rsidR="00E14093" w:rsidRPr="00B134A4" w:rsidRDefault="00E14093" w:rsidP="00E14093">
      <w:pPr>
        <w:pStyle w:val="af0"/>
        <w:rPr>
          <w:rFonts w:ascii="Sylfaen" w:hAnsi="Sylfaen"/>
          <w:lang w:val="en-GB"/>
        </w:rPr>
      </w:pPr>
      <w:bookmarkStart w:id="2" w:name="_Toc373756490"/>
      <w:r w:rsidRPr="00B134A4">
        <w:rPr>
          <w:rFonts w:ascii="Sylfaen" w:hAnsi="Sylfaen"/>
          <w:i/>
          <w:lang w:val="en-GB"/>
        </w:rPr>
        <w:t>Table</w:t>
      </w:r>
      <w:r w:rsidRPr="00B134A4">
        <w:rPr>
          <w:rFonts w:ascii="Sylfaen" w:hAnsi="Sylfaen"/>
          <w:lang w:val="en-GB"/>
        </w:rPr>
        <w:t xml:space="preserve">  123</w:t>
      </w:r>
      <w:bookmarkEnd w:id="2"/>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 no (1, 2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 in a year (I, II, III and IV)</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YarNo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Year (1996, 1997 ...)</w:t>
            </w:r>
          </w:p>
        </w:tc>
      </w:tr>
      <w:tr w:rsidR="00E14093" w:rsidRPr="00B134A4" w:rsidTr="00DA6A3F">
        <w:trPr>
          <w:trHeight w:val="3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YearQuart</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 and year (1 quarter 1997, 2 quarter 1997 ...)</w:t>
            </w:r>
          </w:p>
        </w:tc>
      </w:tr>
    </w:tbl>
    <w:p w:rsidR="00E14093" w:rsidRPr="00B134A4" w:rsidRDefault="00E14093" w:rsidP="00E14093">
      <w:pPr>
        <w:pStyle w:val="af0"/>
        <w:rPr>
          <w:rFonts w:ascii="Sylfaen" w:hAnsi="Sylfaen"/>
          <w:lang w:val="en-GB"/>
        </w:rPr>
      </w:pPr>
      <w:bookmarkStart w:id="3" w:name="_Toc373756491"/>
      <w:r w:rsidRPr="00B134A4">
        <w:rPr>
          <w:rFonts w:ascii="Sylfaen" w:hAnsi="Sylfaen"/>
          <w:i/>
          <w:lang w:val="en-GB"/>
        </w:rPr>
        <w:t xml:space="preserve">Table </w:t>
      </w:r>
      <w:r w:rsidRPr="00B134A4">
        <w:rPr>
          <w:rFonts w:ascii="Sylfaen" w:hAnsi="Sylfaen"/>
          <w:lang w:val="en-GB"/>
        </w:rPr>
        <w:t xml:space="preserve"> ConsPurch_03</w:t>
      </w:r>
      <w:bookmarkEnd w:id="3"/>
      <w:r w:rsidRPr="00B134A4">
        <w:rPr>
          <w:rFonts w:ascii="Sylfaen" w:hAnsi="Sylfaen"/>
          <w:lang w:val="en-GB"/>
        </w:rPr>
        <w:t xml:space="preserve"> </w:t>
      </w:r>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average monthly data on each product per household)</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ProductCode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 code (according to COICOP classification)</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Quantity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of food products bought for own consumption (kg/l)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Paid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Amount paid (GEL)</w:t>
            </w:r>
          </w:p>
        </w:tc>
      </w:tr>
      <w:tr w:rsidR="00E14093" w:rsidRPr="00B134A4" w:rsidTr="00DA6A3F">
        <w:trPr>
          <w:trHeight w:val="3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Prices</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 price (GEL)</w:t>
            </w:r>
          </w:p>
        </w:tc>
      </w:tr>
    </w:tbl>
    <w:p w:rsidR="00E14093" w:rsidRPr="00B134A4" w:rsidRDefault="00E14093" w:rsidP="00E14093">
      <w:pPr>
        <w:pStyle w:val="af0"/>
        <w:rPr>
          <w:rFonts w:ascii="Sylfaen" w:hAnsi="Sylfaen"/>
          <w:lang w:val="en-GB"/>
        </w:rPr>
      </w:pPr>
      <w:bookmarkStart w:id="4" w:name="_Toc373756492"/>
      <w:r w:rsidRPr="00B134A4">
        <w:rPr>
          <w:rFonts w:ascii="Sylfaen" w:hAnsi="Sylfaen"/>
          <w:i/>
          <w:lang w:val="en-GB"/>
        </w:rPr>
        <w:t>Table</w:t>
      </w:r>
      <w:r w:rsidRPr="00B134A4">
        <w:rPr>
          <w:rFonts w:ascii="Sylfaen" w:hAnsi="Sylfaen"/>
          <w:lang w:val="en-GB"/>
        </w:rPr>
        <w:t xml:space="preserve">  DeadMen</w:t>
      </w:r>
      <w:bookmarkEnd w:id="4"/>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data corresponding to Shinda02 about the household members deceased)</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single" w:sz="12" w:space="0" w:color="auto"/>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single" w:sz="12" w:space="0" w:color="auto"/>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MemberNo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Number assigned to a household member in Shinda02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Relation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Relationship to the head of the household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Gender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Gender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BirthYear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Year of birth</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Education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Level of education achieved</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Height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Height of the interviewee (removed from the questionnaire since III quarter 2006)</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Weight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Weight of the interviewee (removed from the questionnaire since III quarter 2006)</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Nationality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Nationality</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MaritalStatus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Marital status</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YearsInThisCity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Duration of living at a given address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Migration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If migrated to the given address, from where did it happen</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SpecialStatus1</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 status 1</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SpecialStatus2</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 status 2</w:t>
            </w:r>
          </w:p>
        </w:tc>
      </w:tr>
      <w:tr w:rsidR="00E14093" w:rsidRPr="00B134A4" w:rsidTr="00DA6A3F">
        <w:trPr>
          <w:trHeight w:val="6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ChangesQ1</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Change in the household composition </w:t>
            </w:r>
            <w:r w:rsidRPr="00B134A4">
              <w:rPr>
                <w:rFonts w:ascii="Sylfaen" w:hAnsi="Sylfaen" w:cs="Calibri"/>
                <w:color w:val="000000"/>
                <w:sz w:val="20"/>
                <w:szCs w:val="20"/>
                <w:lang w:val="en-GB" w:eastAsia="en-US"/>
              </w:rPr>
              <w:t>within</w:t>
            </w:r>
            <w:r w:rsidRPr="00B134A4">
              <w:rPr>
                <w:rFonts w:ascii="Sylfaen" w:hAnsi="Sylfaen" w:cs="Calibri"/>
                <w:color w:val="000000"/>
                <w:sz w:val="20"/>
                <w:szCs w:val="20"/>
                <w:lang w:val="en-GB" w:eastAsia="en-US"/>
              </w:rPr>
              <w:t xml:space="preserve"> the last three months as compared with the first interview </w:t>
            </w:r>
          </w:p>
        </w:tc>
      </w:tr>
    </w:tbl>
    <w:p w:rsidR="00E14093" w:rsidRPr="00B134A4" w:rsidRDefault="00E14093" w:rsidP="00E14093">
      <w:pPr>
        <w:pStyle w:val="af0"/>
        <w:rPr>
          <w:rFonts w:ascii="Sylfaen" w:hAnsi="Sylfaen"/>
          <w:lang w:val="en-GB"/>
        </w:rPr>
      </w:pPr>
      <w:bookmarkStart w:id="5" w:name="_Toc373756493"/>
      <w:r w:rsidRPr="00B134A4">
        <w:rPr>
          <w:rFonts w:ascii="Sylfaen" w:hAnsi="Sylfaen"/>
          <w:i/>
          <w:lang w:val="en-GB"/>
        </w:rPr>
        <w:t>Table</w:t>
      </w:r>
      <w:r w:rsidRPr="00B134A4">
        <w:rPr>
          <w:rFonts w:ascii="Sylfaen" w:hAnsi="Sylfaen"/>
          <w:lang w:val="en-GB"/>
        </w:rPr>
        <w:t xml:space="preserve">  </w:t>
      </w:r>
      <w:r w:rsidRPr="00B134A4">
        <w:rPr>
          <w:rFonts w:ascii="Sylfaen" w:hAnsi="Sylfaen"/>
          <w:i/>
          <w:lang w:val="en-GB"/>
        </w:rPr>
        <w:t>FamilySize</w:t>
      </w:r>
      <w:bookmarkEnd w:id="5"/>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general data on each household)</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lastRenderedPageBreak/>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FamilySize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Size of a household (number of members)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Childern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Number of children in a household aged 0-7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Adult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Number of adolescents in a household aged 8-15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Eq_Adult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Number of equivalent adults in a household **</w:t>
            </w:r>
          </w:p>
        </w:tc>
      </w:tr>
      <w:tr w:rsidR="00E14093" w:rsidRPr="00B134A4" w:rsidTr="00DA6A3F">
        <w:trPr>
          <w:trHeight w:val="558"/>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Eq_Skale_0_6</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Number of equivalent adults in a household recalculated by taking account of the coefficient 0.6 of cohabitation effect ***</w:t>
            </w:r>
          </w:p>
        </w:tc>
      </w:tr>
      <w:tr w:rsidR="00E14093" w:rsidRPr="00B134A4" w:rsidTr="00DA6A3F">
        <w:trPr>
          <w:trHeight w:val="300"/>
        </w:trPr>
        <w:tc>
          <w:tcPr>
            <w:tcW w:w="2800" w:type="dxa"/>
            <w:tcBorders>
              <w:top w:val="dotted" w:sz="4" w:space="0" w:color="auto"/>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Family_Size_Stand</w:t>
            </w:r>
          </w:p>
        </w:tc>
        <w:tc>
          <w:tcPr>
            <w:tcW w:w="7060" w:type="dxa"/>
            <w:tcBorders>
              <w:top w:val="dotted" w:sz="4" w:space="0" w:color="auto"/>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Family size, where 6="6 and more"</w:t>
            </w:r>
          </w:p>
        </w:tc>
      </w:tr>
      <w:tr w:rsidR="00E14093" w:rsidRPr="00B134A4" w:rsidTr="00DA6A3F">
        <w:trPr>
          <w:trHeight w:val="528"/>
        </w:trPr>
        <w:tc>
          <w:tcPr>
            <w:tcW w:w="2800" w:type="dxa"/>
            <w:tcBorders>
              <w:top w:val="dotted" w:sz="4" w:space="0" w:color="auto"/>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Ed_Skale_0_8</w:t>
            </w:r>
          </w:p>
        </w:tc>
        <w:tc>
          <w:tcPr>
            <w:tcW w:w="7060" w:type="dxa"/>
            <w:tcBorders>
              <w:top w:val="dotted" w:sz="4" w:space="0" w:color="auto"/>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Number of equivalent adults in a household recalculated by taking account of the coefficient 0.8 of cohabitation effect ***</w:t>
            </w:r>
          </w:p>
        </w:tc>
      </w:tr>
    </w:tbl>
    <w:p w:rsidR="00E14093" w:rsidRPr="00B134A4" w:rsidRDefault="00E14093" w:rsidP="00E14093">
      <w:pPr>
        <w:pStyle w:val="af0"/>
        <w:rPr>
          <w:rFonts w:ascii="Sylfaen" w:hAnsi="Sylfaen"/>
          <w:lang w:val="en-GB"/>
        </w:rPr>
      </w:pPr>
      <w:bookmarkStart w:id="6" w:name="_Toc373756495"/>
      <w:r w:rsidRPr="00B134A4">
        <w:rPr>
          <w:rFonts w:ascii="Sylfaen" w:hAnsi="Sylfaen"/>
          <w:i/>
          <w:lang w:val="en-GB"/>
        </w:rPr>
        <w:t>Table</w:t>
      </w:r>
      <w:r w:rsidRPr="00B134A4">
        <w:rPr>
          <w:rFonts w:ascii="Sylfaen" w:hAnsi="Sylfaen"/>
          <w:lang w:val="en-GB"/>
        </w:rPr>
        <w:t xml:space="preserve">  tblShinda04</w:t>
      </w:r>
      <w:bookmarkEnd w:id="6"/>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monthly data for each household for a certain part of Shinda04)</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MonthYear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Month, year of operation</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TableNo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Table number from Shinda04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ItemNo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Category number from Shinda 04 </w:t>
            </w:r>
          </w:p>
        </w:tc>
      </w:tr>
      <w:tr w:rsidR="00E14093" w:rsidRPr="00B134A4" w:rsidTr="00DA6A3F">
        <w:trPr>
          <w:trHeight w:val="9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Opt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Provision, where necessary (woman or man for Table 31; children between 0 - 3 or adolescent between 3 - 13 for Table 32)</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Value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Monetary expenses in GEL (amount received from the sale of livestock or poultry for Table 226) </w:t>
            </w:r>
          </w:p>
        </w:tc>
      </w:tr>
      <w:tr w:rsidR="00E14093" w:rsidRPr="00B134A4" w:rsidTr="00DA6A3F">
        <w:trPr>
          <w:trHeight w:val="9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raodenoba</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of products bought (for Table 101). Number of livestock and poultry bought (for Table 223) or sold (for Table 226) </w:t>
            </w:r>
          </w:p>
        </w:tc>
      </w:tr>
      <w:tr w:rsidR="00E14093" w:rsidRPr="00B134A4" w:rsidTr="00DA6A3F">
        <w:trPr>
          <w:trHeight w:val="9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raodenobaufaso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Estimated price of products or services received free of charge in GEL. For Table 101 – quantity of products received free of charge </w:t>
            </w:r>
          </w:p>
        </w:tc>
      </w:tr>
      <w:tr w:rsidR="00E14093" w:rsidRPr="00B134A4" w:rsidTr="00DA6A3F">
        <w:trPr>
          <w:trHeight w:val="6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ufaso101</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For Table 101 – estimated price of products received free of charge in GEL </w:t>
            </w:r>
          </w:p>
        </w:tc>
      </w:tr>
    </w:tbl>
    <w:p w:rsidR="00E14093" w:rsidRPr="00B134A4" w:rsidRDefault="00E14093" w:rsidP="00E14093">
      <w:pPr>
        <w:pStyle w:val="af0"/>
        <w:rPr>
          <w:rFonts w:ascii="Sylfaen" w:hAnsi="Sylfaen"/>
          <w:lang w:val="en-GB"/>
        </w:rPr>
      </w:pPr>
      <w:bookmarkStart w:id="7" w:name="_Toc373756496"/>
      <w:r w:rsidRPr="00B134A4">
        <w:rPr>
          <w:rFonts w:ascii="Sylfaen" w:hAnsi="Sylfaen"/>
          <w:i/>
          <w:lang w:val="en-GB"/>
        </w:rPr>
        <w:t>Table</w:t>
      </w:r>
      <w:r w:rsidRPr="00B134A4">
        <w:rPr>
          <w:rFonts w:ascii="Sylfaen" w:hAnsi="Sylfaen"/>
          <w:lang w:val="en-GB"/>
        </w:rPr>
        <w:t xml:space="preserve">  tblShinda04_1</w:t>
      </w:r>
      <w:bookmarkEnd w:id="7"/>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monthly data for each household for a certain part of Shinda04)</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single" w:sz="8" w:space="0" w:color="auto"/>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UID</w:t>
            </w:r>
          </w:p>
        </w:tc>
        <w:tc>
          <w:tcPr>
            <w:tcW w:w="7060" w:type="dxa"/>
            <w:tcBorders>
              <w:top w:val="single" w:sz="8" w:space="0" w:color="auto"/>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MonthYear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Month, year of operation</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TableNo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Table number from Shinda04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ItemNo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Category number from Shinda 04 </w:t>
            </w:r>
          </w:p>
        </w:tc>
      </w:tr>
      <w:tr w:rsidR="00E14093" w:rsidRPr="00B134A4" w:rsidTr="00DA6A3F">
        <w:trPr>
          <w:trHeight w:val="36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Harvest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Quantity of products yielded (harvest) or produced by the household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Consumption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consumed in the household</w:t>
            </w:r>
          </w:p>
        </w:tc>
      </w:tr>
      <w:tr w:rsidR="00E14093" w:rsidRPr="00B134A4" w:rsidTr="00DA6A3F">
        <w:trPr>
          <w:trHeight w:val="242"/>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SaleOrGift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sold or given away as gifts by the household</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Sale</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Quantity of products sold by the household (sale and giving away in gifts used to be recorded together before 2010)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Gift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given away as gifts by the household (sale and giving away in gifts used to be recorded together before 2010)</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lastRenderedPageBreak/>
              <w:t>Animals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Quantity of fodder products consumed in the household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Processed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processed by the household</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Trash</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spoiled products</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Store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remaining in the household in the form of supplies by the end of last month</w:t>
            </w:r>
          </w:p>
        </w:tc>
      </w:tr>
      <w:tr w:rsidR="00E14093" w:rsidRPr="00B134A4" w:rsidTr="00DA6A3F">
        <w:trPr>
          <w:trHeight w:val="314"/>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Seed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Quantity of products used by the household as seeds</w:t>
            </w:r>
          </w:p>
        </w:tc>
      </w:tr>
      <w:tr w:rsidR="00E14093" w:rsidRPr="00B134A4" w:rsidTr="00DA6A3F">
        <w:trPr>
          <w:trHeight w:val="6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Value</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Income gained by the household from the sales of products of own production in GEL (before 2010, income gained from the sale of agricultural products used to be recorded fully in separate tables)</w:t>
            </w:r>
          </w:p>
        </w:tc>
      </w:tr>
    </w:tbl>
    <w:p w:rsidR="00E14093" w:rsidRPr="00B134A4" w:rsidRDefault="00E14093" w:rsidP="00E14093">
      <w:pPr>
        <w:pStyle w:val="af0"/>
        <w:rPr>
          <w:rFonts w:ascii="Sylfaen" w:hAnsi="Sylfaen"/>
          <w:lang w:val="en-GB"/>
        </w:rPr>
      </w:pPr>
      <w:bookmarkStart w:id="8" w:name="_Toc373756497"/>
      <w:r w:rsidRPr="00B134A4">
        <w:rPr>
          <w:rFonts w:ascii="Sylfaen" w:hAnsi="Sylfaen"/>
          <w:i/>
          <w:lang w:val="en-GB"/>
        </w:rPr>
        <w:t>Table</w:t>
      </w:r>
      <w:r w:rsidRPr="00B134A4">
        <w:rPr>
          <w:rFonts w:ascii="Sylfaen" w:hAnsi="Sylfaen"/>
          <w:lang w:val="en-GB"/>
        </w:rPr>
        <w:t xml:space="preserve">  SysSchedule</w:t>
      </w:r>
      <w:bookmarkEnd w:id="8"/>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 xml:space="preserve">(Covering general data about each household) </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MonthYear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Date of conducting the interview (month, year)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 no (1 = III quarter 1996; 2 = IV quarter 1996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CensusUnitID</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Census district code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DwellingID</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Household code in a census district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DiaryID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retained for each household throughout the year while being in a sample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RegNo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Region code (</w:t>
            </w:r>
            <w:r w:rsidRPr="00B134A4">
              <w:rPr>
                <w:rFonts w:ascii="Sylfaen" w:hAnsi="Sylfaen" w:cs="Calibri"/>
                <w:b/>
                <w:color w:val="000000"/>
                <w:sz w:val="20"/>
                <w:szCs w:val="20"/>
                <w:lang w:val="en-GB" w:eastAsia="en-US"/>
              </w:rPr>
              <w:t>0</w:t>
            </w:r>
            <w:r w:rsidRPr="00B134A4">
              <w:rPr>
                <w:rFonts w:ascii="Sylfaen" w:hAnsi="Sylfaen" w:cs="Calibri"/>
                <w:color w:val="000000"/>
                <w:sz w:val="20"/>
                <w:szCs w:val="20"/>
                <w:lang w:val="en-GB" w:eastAsia="en-US"/>
              </w:rPr>
              <w:t xml:space="preserve">=Kakheti; </w:t>
            </w:r>
            <w:r w:rsidRPr="00B134A4">
              <w:rPr>
                <w:rFonts w:ascii="Sylfaen" w:hAnsi="Sylfaen" w:cs="Calibri"/>
                <w:b/>
                <w:color w:val="000000"/>
                <w:sz w:val="20"/>
                <w:szCs w:val="20"/>
                <w:lang w:val="en-GB" w:eastAsia="en-US"/>
              </w:rPr>
              <w:t>1</w:t>
            </w:r>
            <w:r w:rsidRPr="00B134A4">
              <w:rPr>
                <w:rFonts w:ascii="Sylfaen" w:hAnsi="Sylfaen" w:cs="Calibri"/>
                <w:color w:val="000000"/>
                <w:sz w:val="20"/>
                <w:szCs w:val="20"/>
                <w:lang w:val="en-GB" w:eastAsia="en-US"/>
              </w:rPr>
              <w:t xml:space="preserve">=Tbilisi; </w:t>
            </w:r>
            <w:r w:rsidRPr="00B134A4">
              <w:rPr>
                <w:rFonts w:ascii="Sylfaen" w:hAnsi="Sylfaen" w:cs="Calibri"/>
                <w:b/>
                <w:color w:val="000000"/>
                <w:sz w:val="20"/>
                <w:szCs w:val="20"/>
                <w:lang w:val="en-GB" w:eastAsia="en-US"/>
              </w:rPr>
              <w:t>2</w:t>
            </w:r>
            <w:r w:rsidRPr="00B134A4">
              <w:rPr>
                <w:rFonts w:ascii="Sylfaen" w:hAnsi="Sylfaen" w:cs="Calibri"/>
                <w:color w:val="000000"/>
                <w:sz w:val="20"/>
                <w:szCs w:val="20"/>
                <w:lang w:val="en-GB" w:eastAsia="en-US"/>
              </w:rPr>
              <w:t xml:space="preserve">=Shida Kartli; </w:t>
            </w:r>
            <w:r w:rsidRPr="00B134A4">
              <w:rPr>
                <w:rFonts w:ascii="Sylfaen" w:hAnsi="Sylfaen" w:cs="Calibri"/>
                <w:b/>
                <w:color w:val="000000"/>
                <w:sz w:val="20"/>
                <w:szCs w:val="20"/>
                <w:lang w:val="en-GB" w:eastAsia="en-US"/>
              </w:rPr>
              <w:t>3</w:t>
            </w:r>
            <w:r w:rsidRPr="00B134A4">
              <w:rPr>
                <w:rFonts w:ascii="Sylfaen" w:hAnsi="Sylfaen" w:cs="Calibri"/>
                <w:color w:val="000000"/>
                <w:sz w:val="20"/>
                <w:szCs w:val="20"/>
                <w:lang w:val="en-GB" w:eastAsia="en-US"/>
              </w:rPr>
              <w:t xml:space="preserve">=Kvemo Kartli; </w:t>
            </w:r>
            <w:r w:rsidRPr="00B134A4">
              <w:rPr>
                <w:rFonts w:ascii="Sylfaen" w:hAnsi="Sylfaen" w:cs="Calibri"/>
                <w:b/>
                <w:color w:val="000000"/>
                <w:sz w:val="20"/>
                <w:szCs w:val="20"/>
                <w:lang w:val="en-GB" w:eastAsia="en-US"/>
              </w:rPr>
              <w:t>5</w:t>
            </w:r>
            <w:r w:rsidRPr="00B134A4">
              <w:rPr>
                <w:rFonts w:ascii="Sylfaen" w:hAnsi="Sylfaen" w:cs="Calibri"/>
                <w:color w:val="000000"/>
                <w:sz w:val="20"/>
                <w:szCs w:val="20"/>
                <w:lang w:val="en-GB" w:eastAsia="en-US"/>
              </w:rPr>
              <w:t xml:space="preserve">=Samtskhe-Javakheti; </w:t>
            </w:r>
            <w:r w:rsidRPr="00B134A4">
              <w:rPr>
                <w:rFonts w:ascii="Sylfaen" w:hAnsi="Sylfaen" w:cs="Calibri"/>
                <w:b/>
                <w:color w:val="000000"/>
                <w:sz w:val="20"/>
                <w:szCs w:val="20"/>
                <w:lang w:val="en-GB" w:eastAsia="en-US"/>
              </w:rPr>
              <w:t>7</w:t>
            </w:r>
            <w:r w:rsidRPr="00B134A4">
              <w:rPr>
                <w:rFonts w:ascii="Sylfaen" w:hAnsi="Sylfaen" w:cs="Calibri"/>
                <w:color w:val="000000"/>
                <w:sz w:val="20"/>
                <w:szCs w:val="20"/>
                <w:lang w:val="en-GB" w:eastAsia="en-US"/>
              </w:rPr>
              <w:t xml:space="preserve">=A. R. of Adjara; </w:t>
            </w:r>
            <w:r w:rsidRPr="00B134A4">
              <w:rPr>
                <w:rFonts w:ascii="Sylfaen" w:hAnsi="Sylfaen" w:cs="Calibri"/>
                <w:b/>
                <w:color w:val="000000"/>
                <w:sz w:val="20"/>
                <w:szCs w:val="20"/>
                <w:lang w:val="en-GB" w:eastAsia="en-US"/>
              </w:rPr>
              <w:t>8</w:t>
            </w:r>
            <w:r w:rsidRPr="00B134A4">
              <w:rPr>
                <w:rFonts w:ascii="Sylfaen" w:hAnsi="Sylfaen" w:cs="Calibri"/>
                <w:color w:val="000000"/>
                <w:sz w:val="20"/>
                <w:szCs w:val="20"/>
                <w:lang w:val="en-GB" w:eastAsia="en-US"/>
              </w:rPr>
              <w:t xml:space="preserve">=Guria; </w:t>
            </w:r>
            <w:r w:rsidRPr="00B134A4">
              <w:rPr>
                <w:rFonts w:ascii="Sylfaen" w:hAnsi="Sylfaen" w:cs="Calibri"/>
                <w:b/>
                <w:color w:val="000000"/>
                <w:sz w:val="20"/>
                <w:szCs w:val="20"/>
                <w:lang w:val="en-GB" w:eastAsia="en-US"/>
              </w:rPr>
              <w:t>9</w:t>
            </w:r>
            <w:r w:rsidRPr="00B134A4">
              <w:rPr>
                <w:rFonts w:ascii="Sylfaen" w:hAnsi="Sylfaen" w:cs="Calibri"/>
                <w:color w:val="000000"/>
                <w:sz w:val="20"/>
                <w:szCs w:val="20"/>
                <w:lang w:val="en-GB" w:eastAsia="en-US"/>
              </w:rPr>
              <w:t xml:space="preserve">=Samegrelo–Zemo Svaneti; </w:t>
            </w:r>
            <w:r w:rsidRPr="00B134A4">
              <w:rPr>
                <w:rFonts w:ascii="Sylfaen" w:hAnsi="Sylfaen" w:cs="Calibri"/>
                <w:b/>
                <w:color w:val="000000"/>
                <w:sz w:val="20"/>
                <w:szCs w:val="20"/>
                <w:lang w:val="en-GB" w:eastAsia="en-US"/>
              </w:rPr>
              <w:t>10</w:t>
            </w:r>
            <w:r w:rsidRPr="00B134A4">
              <w:rPr>
                <w:rFonts w:ascii="Sylfaen" w:hAnsi="Sylfaen" w:cs="Calibri"/>
                <w:color w:val="000000"/>
                <w:sz w:val="20"/>
                <w:szCs w:val="20"/>
                <w:lang w:val="en-GB" w:eastAsia="en-US"/>
              </w:rPr>
              <w:t xml:space="preserve">=Imereti, Racha-Lechkhumi and Kvemo Svaneti; </w:t>
            </w:r>
            <w:r w:rsidRPr="00B134A4">
              <w:rPr>
                <w:rFonts w:ascii="Sylfaen" w:hAnsi="Sylfaen" w:cs="Calibri"/>
                <w:b/>
                <w:color w:val="000000"/>
                <w:sz w:val="20"/>
                <w:szCs w:val="20"/>
                <w:lang w:val="en-GB" w:eastAsia="en-US"/>
              </w:rPr>
              <w:t>11</w:t>
            </w:r>
            <w:r w:rsidRPr="00B134A4">
              <w:rPr>
                <w:rFonts w:ascii="Sylfaen" w:hAnsi="Sylfaen" w:cs="Calibri"/>
                <w:color w:val="000000"/>
                <w:sz w:val="20"/>
                <w:szCs w:val="20"/>
                <w:lang w:val="en-GB" w:eastAsia="en-US"/>
              </w:rPr>
              <w:t>=Mtskheta-Mtianeti)</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UrbanOrRural</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City of village (</w:t>
            </w:r>
            <w:r w:rsidRPr="00B134A4">
              <w:rPr>
                <w:rFonts w:ascii="Sylfaen" w:hAnsi="Sylfaen" w:cs="Calibri"/>
                <w:b/>
                <w:color w:val="000000"/>
                <w:sz w:val="20"/>
                <w:szCs w:val="20"/>
                <w:lang w:val="en-GB" w:eastAsia="en-US"/>
              </w:rPr>
              <w:t>1</w:t>
            </w:r>
            <w:r w:rsidRPr="00B134A4">
              <w:rPr>
                <w:rFonts w:ascii="Sylfaen" w:hAnsi="Sylfaen" w:cs="Calibri"/>
                <w:color w:val="000000"/>
                <w:sz w:val="20"/>
                <w:szCs w:val="20"/>
                <w:lang w:val="en-GB" w:eastAsia="en-US"/>
              </w:rPr>
              <w:t xml:space="preserve">=city, </w:t>
            </w:r>
            <w:r w:rsidRPr="00B134A4">
              <w:rPr>
                <w:rFonts w:ascii="Sylfaen" w:hAnsi="Sylfaen" w:cs="Calibri"/>
                <w:b/>
                <w:color w:val="000000"/>
                <w:sz w:val="20"/>
                <w:szCs w:val="20"/>
                <w:lang w:val="en-GB" w:eastAsia="en-US"/>
              </w:rPr>
              <w:t>2</w:t>
            </w:r>
            <w:r w:rsidRPr="00B134A4">
              <w:rPr>
                <w:rFonts w:ascii="Sylfaen" w:hAnsi="Sylfaen" w:cs="Calibri"/>
                <w:color w:val="000000"/>
                <w:sz w:val="20"/>
                <w:szCs w:val="20"/>
                <w:lang w:val="en-GB" w:eastAsia="en-US"/>
              </w:rPr>
              <w:t>=village)</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Weights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Weight of a household in a sample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Mountain</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Is the settlement mountainous or not? (</w:t>
            </w:r>
            <w:r w:rsidRPr="00B134A4">
              <w:rPr>
                <w:rFonts w:ascii="Sylfaen" w:hAnsi="Sylfaen" w:cs="Calibri"/>
                <w:b/>
                <w:color w:val="000000"/>
                <w:sz w:val="20"/>
                <w:szCs w:val="20"/>
                <w:lang w:val="en-GB" w:eastAsia="en-US"/>
              </w:rPr>
              <w:t>1</w:t>
            </w:r>
            <w:r w:rsidRPr="00B134A4">
              <w:rPr>
                <w:rFonts w:ascii="Sylfaen" w:hAnsi="Sylfaen" w:cs="Calibri"/>
                <w:color w:val="000000"/>
                <w:sz w:val="20"/>
                <w:szCs w:val="20"/>
                <w:lang w:val="en-GB" w:eastAsia="en-US"/>
              </w:rPr>
              <w:t xml:space="preserve">=yes, </w:t>
            </w:r>
            <w:r w:rsidRPr="00B134A4">
              <w:rPr>
                <w:rFonts w:ascii="Sylfaen" w:hAnsi="Sylfaen" w:cs="Calibri"/>
                <w:b/>
                <w:color w:val="000000"/>
                <w:sz w:val="20"/>
                <w:szCs w:val="20"/>
                <w:lang w:val="en-GB" w:eastAsia="en-US"/>
              </w:rPr>
              <w:t>0</w:t>
            </w:r>
            <w:r w:rsidRPr="00B134A4">
              <w:rPr>
                <w:rFonts w:ascii="Sylfaen" w:hAnsi="Sylfaen" w:cs="Calibri"/>
                <w:color w:val="000000"/>
                <w:sz w:val="20"/>
                <w:szCs w:val="20"/>
                <w:lang w:val="en-GB" w:eastAsia="en-US"/>
              </w:rPr>
              <w:t>=no)</w:t>
            </w:r>
          </w:p>
        </w:tc>
      </w:tr>
      <w:tr w:rsidR="00E14093" w:rsidRPr="00B134A4" w:rsidTr="00DA6A3F">
        <w:trPr>
          <w:trHeight w:val="12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Size</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Size of a settlement (1=</w:t>
            </w:r>
            <w:r w:rsidRPr="00B134A4">
              <w:rPr>
                <w:rFonts w:ascii="Sylfaen" w:hAnsi="Sylfaen" w:cs="Calibri"/>
                <w:b/>
                <w:color w:val="000000"/>
                <w:sz w:val="20"/>
                <w:szCs w:val="20"/>
                <w:lang w:val="en-GB" w:eastAsia="en-US"/>
              </w:rPr>
              <w:t xml:space="preserve">big city </w:t>
            </w:r>
            <w:r w:rsidRPr="00B134A4">
              <w:rPr>
                <w:rFonts w:ascii="Sylfaen" w:hAnsi="Sylfaen" w:cs="Calibri"/>
                <w:color w:val="000000"/>
                <w:sz w:val="20"/>
                <w:szCs w:val="20"/>
                <w:lang w:val="en-GB" w:eastAsia="en-US"/>
              </w:rPr>
              <w:t>– cities with a population greater than 45 thousand and the villages within the area of Tbilisi; 2=</w:t>
            </w:r>
            <w:r w:rsidRPr="00B134A4">
              <w:rPr>
                <w:rFonts w:ascii="Sylfaen" w:hAnsi="Sylfaen" w:cs="Calibri"/>
                <w:b/>
                <w:color w:val="000000"/>
                <w:sz w:val="20"/>
                <w:szCs w:val="20"/>
                <w:lang w:val="en-GB" w:eastAsia="en-US"/>
              </w:rPr>
              <w:t xml:space="preserve">small city </w:t>
            </w:r>
            <w:r w:rsidRPr="00B134A4">
              <w:rPr>
                <w:rFonts w:ascii="Sylfaen" w:hAnsi="Sylfaen" w:cs="Calibri"/>
                <w:color w:val="000000"/>
                <w:sz w:val="20"/>
                <w:szCs w:val="20"/>
                <w:lang w:val="en-GB" w:eastAsia="en-US"/>
              </w:rPr>
              <w:t>– other cities and municipal (regional) centres; 3=</w:t>
            </w:r>
            <w:r w:rsidRPr="00B134A4">
              <w:rPr>
                <w:rFonts w:ascii="Sylfaen" w:hAnsi="Sylfaen" w:cs="Calibri"/>
                <w:b/>
                <w:color w:val="000000"/>
                <w:sz w:val="20"/>
                <w:szCs w:val="20"/>
                <w:lang w:val="en-GB" w:eastAsia="en-US"/>
              </w:rPr>
              <w:t xml:space="preserve">village </w:t>
            </w:r>
            <w:r w:rsidRPr="00B134A4">
              <w:rPr>
                <w:rFonts w:ascii="Sylfaen" w:hAnsi="Sylfaen" w:cs="Calibri"/>
                <w:color w:val="000000"/>
                <w:sz w:val="20"/>
                <w:szCs w:val="20"/>
                <w:lang w:val="en-GB" w:eastAsia="en-US"/>
              </w:rPr>
              <w:t xml:space="preserve">– villages and towns, which are not municipal (regional) </w:t>
            </w:r>
            <w:r w:rsidRPr="00B134A4">
              <w:rPr>
                <w:rFonts w:ascii="Sylfaen" w:hAnsi="Sylfaen" w:cs="Calibri"/>
                <w:color w:val="000000"/>
                <w:sz w:val="20"/>
                <w:szCs w:val="20"/>
                <w:lang w:val="en-GB" w:eastAsia="en-US"/>
              </w:rPr>
              <w:t>centres</w:t>
            </w:r>
            <w:r w:rsidRPr="00B134A4">
              <w:rPr>
                <w:rFonts w:ascii="Sylfaen" w:hAnsi="Sylfaen" w:cs="Calibri"/>
                <w:color w:val="000000"/>
                <w:sz w:val="20"/>
                <w:szCs w:val="20"/>
                <w:lang w:val="en-GB" w:eastAsia="en-US"/>
              </w:rPr>
              <w:t xml:space="preserve">. </w:t>
            </w:r>
          </w:p>
        </w:tc>
      </w:tr>
      <w:tr w:rsidR="00E14093" w:rsidRPr="00B134A4" w:rsidTr="00DA6A3F">
        <w:trPr>
          <w:trHeight w:val="302"/>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EastOrWest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Whether the settlement belongs to the western or eastern part of Georgia (</w:t>
            </w:r>
            <w:r w:rsidRPr="00B134A4">
              <w:rPr>
                <w:rFonts w:ascii="Sylfaen" w:hAnsi="Sylfaen" w:cs="Calibri"/>
                <w:b/>
                <w:color w:val="000000"/>
                <w:sz w:val="20"/>
                <w:szCs w:val="20"/>
                <w:lang w:val="en-GB" w:eastAsia="en-US"/>
              </w:rPr>
              <w:t>1</w:t>
            </w:r>
            <w:r w:rsidRPr="00B134A4">
              <w:rPr>
                <w:rFonts w:ascii="Sylfaen" w:hAnsi="Sylfaen" w:cs="Calibri"/>
                <w:color w:val="000000"/>
                <w:sz w:val="20"/>
                <w:szCs w:val="20"/>
                <w:lang w:val="en-GB" w:eastAsia="en-US"/>
              </w:rPr>
              <w:t xml:space="preserve">=east; </w:t>
            </w:r>
            <w:r w:rsidRPr="00B134A4">
              <w:rPr>
                <w:rFonts w:ascii="Sylfaen" w:hAnsi="Sylfaen" w:cs="Calibri"/>
                <w:b/>
                <w:color w:val="000000"/>
                <w:sz w:val="20"/>
                <w:szCs w:val="20"/>
                <w:lang w:val="en-GB" w:eastAsia="en-US"/>
              </w:rPr>
              <w:t>2</w:t>
            </w:r>
            <w:r w:rsidRPr="00B134A4">
              <w:rPr>
                <w:rFonts w:ascii="Sylfaen" w:hAnsi="Sylfaen" w:cs="Calibri"/>
                <w:color w:val="000000"/>
                <w:sz w:val="20"/>
                <w:szCs w:val="20"/>
                <w:lang w:val="en-GB" w:eastAsia="en-US"/>
              </w:rPr>
              <w:t>=west)</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MCG</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Sample of MCG-ს or Geostat (</w:t>
            </w:r>
            <w:r w:rsidRPr="00B134A4">
              <w:rPr>
                <w:rFonts w:ascii="Sylfaen" w:hAnsi="Sylfaen" w:cs="Calibri"/>
                <w:b/>
                <w:color w:val="000000"/>
                <w:sz w:val="20"/>
                <w:szCs w:val="20"/>
                <w:lang w:val="en-GB" w:eastAsia="en-US"/>
              </w:rPr>
              <w:t>1</w:t>
            </w:r>
            <w:r w:rsidRPr="00B134A4">
              <w:rPr>
                <w:rFonts w:ascii="Sylfaen" w:hAnsi="Sylfaen" w:cs="Calibri"/>
                <w:color w:val="000000"/>
                <w:sz w:val="20"/>
                <w:szCs w:val="20"/>
                <w:lang w:val="en-GB" w:eastAsia="en-US"/>
              </w:rPr>
              <w:t xml:space="preserve">=MCG; </w:t>
            </w:r>
            <w:r w:rsidRPr="00B134A4">
              <w:rPr>
                <w:rFonts w:ascii="Sylfaen" w:hAnsi="Sylfaen" w:cs="Calibri"/>
                <w:b/>
                <w:color w:val="000000"/>
                <w:sz w:val="20"/>
                <w:szCs w:val="20"/>
                <w:lang w:val="en-GB" w:eastAsia="en-US"/>
              </w:rPr>
              <w:t>0</w:t>
            </w:r>
            <w:r w:rsidRPr="00B134A4">
              <w:rPr>
                <w:rFonts w:ascii="Sylfaen" w:hAnsi="Sylfaen" w:cs="Calibri"/>
                <w:color w:val="000000"/>
                <w:sz w:val="20"/>
                <w:szCs w:val="20"/>
                <w:lang w:val="en-GB" w:eastAsia="en-US"/>
              </w:rPr>
              <w:t>=Geostat)</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Weights_S</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Weight</w:t>
            </w:r>
            <w:r>
              <w:rPr>
                <w:rFonts w:ascii="Sylfaen" w:hAnsi="Sylfaen" w:cs="Calibri"/>
                <w:color w:val="000000"/>
                <w:sz w:val="20"/>
                <w:szCs w:val="20"/>
                <w:lang w:val="en-GB" w:eastAsia="en-US"/>
              </w:rPr>
              <w:t>s</w:t>
            </w:r>
            <w:r w:rsidRPr="00B134A4">
              <w:rPr>
                <w:rFonts w:ascii="Sylfaen" w:hAnsi="Sylfaen" w:cs="Calibri"/>
                <w:color w:val="000000"/>
                <w:sz w:val="20"/>
                <w:szCs w:val="20"/>
                <w:lang w:val="en-GB" w:eastAsia="en-US"/>
              </w:rPr>
              <w:t xml:space="preserve"> calculated separately for Geostat sample (where the field </w:t>
            </w:r>
            <w:r w:rsidRPr="00B134A4">
              <w:rPr>
                <w:rFonts w:ascii="Sylfaen" w:hAnsi="Sylfaen" w:cs="Calibri"/>
                <w:b/>
                <w:color w:val="000000"/>
                <w:sz w:val="20"/>
                <w:szCs w:val="20"/>
                <w:lang w:val="en-GB" w:eastAsia="en-US"/>
              </w:rPr>
              <w:t>MCG</w:t>
            </w:r>
            <w:r w:rsidRPr="00B134A4">
              <w:rPr>
                <w:rFonts w:ascii="Sylfaen" w:hAnsi="Sylfaen" w:cs="Calibri"/>
                <w:color w:val="000000"/>
                <w:sz w:val="20"/>
                <w:szCs w:val="20"/>
                <w:lang w:val="en-GB" w:eastAsia="en-US"/>
              </w:rPr>
              <w:t>=0)</w:t>
            </w:r>
          </w:p>
        </w:tc>
      </w:tr>
      <w:tr w:rsidR="00E14093" w:rsidRPr="00B134A4" w:rsidTr="00DA6A3F">
        <w:trPr>
          <w:trHeight w:val="615"/>
        </w:trPr>
        <w:tc>
          <w:tcPr>
            <w:tcW w:w="2800" w:type="dxa"/>
            <w:tcBorders>
              <w:top w:val="nil"/>
              <w:left w:val="single" w:sz="12" w:space="0" w:color="auto"/>
              <w:bottom w:val="single" w:sz="12"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RegNo_Converted</w:t>
            </w:r>
          </w:p>
        </w:tc>
        <w:tc>
          <w:tcPr>
            <w:tcW w:w="7060" w:type="dxa"/>
            <w:tcBorders>
              <w:top w:val="nil"/>
              <w:left w:val="nil"/>
              <w:bottom w:val="single" w:sz="12"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Region codes where, unlike field </w:t>
            </w:r>
            <w:r w:rsidRPr="00B134A4">
              <w:rPr>
                <w:rFonts w:ascii="Sylfaen" w:hAnsi="Sylfaen" w:cs="Calibri"/>
                <w:b/>
                <w:color w:val="000000"/>
                <w:sz w:val="20"/>
                <w:szCs w:val="20"/>
                <w:lang w:val="en-GB" w:eastAsia="en-US"/>
              </w:rPr>
              <w:t>RegNo</w:t>
            </w:r>
            <w:r w:rsidRPr="00B134A4">
              <w:rPr>
                <w:rFonts w:ascii="Sylfaen" w:hAnsi="Sylfaen" w:cs="Calibri"/>
                <w:color w:val="000000"/>
                <w:sz w:val="20"/>
                <w:szCs w:val="20"/>
                <w:lang w:val="en-GB" w:eastAsia="en-US"/>
              </w:rPr>
              <w:t>, Mtskheta-Mtianeti, Samtskh-Javakheti and Guria are consolidated (code 12).</w:t>
            </w:r>
          </w:p>
        </w:tc>
      </w:tr>
    </w:tbl>
    <w:p w:rsidR="00E14093" w:rsidRPr="00B134A4" w:rsidRDefault="00E14093" w:rsidP="00E14093">
      <w:pPr>
        <w:pStyle w:val="af0"/>
        <w:rPr>
          <w:rFonts w:ascii="Sylfaen" w:hAnsi="Sylfaen"/>
          <w:lang w:val="en-GB"/>
        </w:rPr>
      </w:pPr>
      <w:bookmarkStart w:id="9" w:name="_Toc373756499"/>
      <w:r w:rsidRPr="00B134A4">
        <w:rPr>
          <w:rFonts w:ascii="Sylfaen" w:hAnsi="Sylfaen"/>
          <w:i/>
          <w:lang w:val="en-GB"/>
        </w:rPr>
        <w:t>Table</w:t>
      </w:r>
      <w:r w:rsidRPr="00B134A4">
        <w:rPr>
          <w:rFonts w:ascii="Sylfaen" w:hAnsi="Sylfaen"/>
          <w:lang w:val="en-GB"/>
        </w:rPr>
        <w:t xml:space="preserve">  tblAvgPrices</w:t>
      </w:r>
      <w:bookmarkEnd w:id="9"/>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 xml:space="preserve">(Covering quarterly data about each product) </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Quarter number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ProductCode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 code (according to COICOP classification)</w:t>
            </w:r>
          </w:p>
        </w:tc>
      </w:tr>
      <w:tr w:rsidR="00E14093" w:rsidRPr="00B134A4" w:rsidTr="00DA6A3F">
        <w:trPr>
          <w:trHeight w:val="3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AvgPrices</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Average product price (Gel) </w:t>
            </w:r>
          </w:p>
        </w:tc>
      </w:tr>
    </w:tbl>
    <w:p w:rsidR="00E14093" w:rsidRPr="00B134A4" w:rsidRDefault="00E14093" w:rsidP="00E14093">
      <w:pPr>
        <w:pStyle w:val="af0"/>
        <w:rPr>
          <w:rFonts w:ascii="Sylfaen" w:hAnsi="Sylfaen"/>
          <w:lang w:val="en-GB"/>
        </w:rPr>
      </w:pPr>
      <w:bookmarkStart w:id="10" w:name="_Toc373756500"/>
      <w:r w:rsidRPr="00B134A4">
        <w:rPr>
          <w:rFonts w:ascii="Sylfaen" w:hAnsi="Sylfaen"/>
          <w:i/>
          <w:lang w:val="en-GB"/>
        </w:rPr>
        <w:t>Table</w:t>
      </w:r>
      <w:r w:rsidRPr="00B134A4">
        <w:rPr>
          <w:rFonts w:ascii="Sylfaen" w:hAnsi="Sylfaen"/>
          <w:lang w:val="en-GB"/>
        </w:rPr>
        <w:t xml:space="preserve">  </w:t>
      </w:r>
      <w:r w:rsidRPr="00B134A4">
        <w:rPr>
          <w:rFonts w:ascii="Sylfaen" w:hAnsi="Sylfaen"/>
          <w:i/>
          <w:lang w:val="en-GB"/>
        </w:rPr>
        <w:t>tblConsumption</w:t>
      </w:r>
      <w:bookmarkEnd w:id="10"/>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 xml:space="preserve">(Covering data about the monthly average consumption of each product by each household) </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lastRenderedPageBreak/>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ProductCode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 code (according to COICOP classification)</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consPurch_kg</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of food products bought for household consumption (kg/l) (from Shinda03)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consNonCash_03_kg</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of food products in a household for consumption produced thereby or received free of charge (kg/l) (from Shinda03) </w:t>
            </w:r>
          </w:p>
        </w:tc>
      </w:tr>
      <w:tr w:rsidR="00E14093" w:rsidRPr="00B134A4" w:rsidTr="00DA6A3F">
        <w:trPr>
          <w:trHeight w:val="156"/>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cons_04_kg</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of food products consumed in a household (kg/l) (from Shinda04) </w:t>
            </w:r>
          </w:p>
        </w:tc>
      </w:tr>
      <w:tr w:rsidR="00E14093" w:rsidRPr="00B134A4" w:rsidTr="00DA6A3F">
        <w:trPr>
          <w:trHeight w:val="161"/>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cons</w:t>
            </w:r>
            <w:r w:rsidRPr="00B134A4">
              <w:rPr>
                <w:rFonts w:ascii="Sylfaen" w:hAnsi="Sylfaen" w:cs="Calibri"/>
                <w:color w:val="000000"/>
                <w:sz w:val="20"/>
                <w:szCs w:val="20"/>
                <w:vertAlign w:val="superscript"/>
                <w:lang w:val="en-GB" w:eastAsia="en-US"/>
              </w:rPr>
              <w:t>1</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Total quantity of food products consumed in a household (kg/l)  </w:t>
            </w:r>
          </w:p>
        </w:tc>
      </w:tr>
      <w:tr w:rsidR="00E14093" w:rsidRPr="00B134A4" w:rsidTr="00DA6A3F">
        <w:trPr>
          <w:trHeight w:val="590"/>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NonCash_StoksConsAdj</w:t>
            </w:r>
            <w:r w:rsidRPr="00B134A4">
              <w:rPr>
                <w:rFonts w:ascii="Sylfaen" w:hAnsi="Sylfaen" w:cs="Calibri"/>
                <w:color w:val="000000"/>
                <w:sz w:val="20"/>
                <w:szCs w:val="20"/>
                <w:vertAlign w:val="superscript"/>
                <w:lang w:val="en-GB" w:eastAsia="en-US"/>
              </w:rPr>
              <w:t>2</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Total quantity of food products of own production, received free of charge or taken from the supplies, consumed in a household (kg/l)  </w:t>
            </w:r>
          </w:p>
        </w:tc>
      </w:tr>
    </w:tbl>
    <w:p w:rsidR="00E14093" w:rsidRPr="00B134A4" w:rsidRDefault="00E14093" w:rsidP="00E14093">
      <w:pPr>
        <w:spacing w:before="0" w:after="0"/>
        <w:rPr>
          <w:rFonts w:ascii="Sylfaen" w:hAnsi="Sylfaen" w:cs="Arial"/>
          <w:sz w:val="18"/>
          <w:szCs w:val="18"/>
          <w:lang w:val="en-GB"/>
        </w:rPr>
      </w:pPr>
      <w:r w:rsidRPr="00B134A4">
        <w:rPr>
          <w:rFonts w:ascii="Sylfaen" w:hAnsi="Sylfaen" w:cs="Arial"/>
          <w:sz w:val="18"/>
          <w:szCs w:val="18"/>
          <w:vertAlign w:val="superscript"/>
          <w:lang w:val="en-GB"/>
        </w:rPr>
        <w:t>1</w:t>
      </w:r>
      <w:r w:rsidRPr="00B134A4">
        <w:rPr>
          <w:rFonts w:ascii="Sylfaen" w:hAnsi="Sylfaen" w:cs="Arial"/>
          <w:sz w:val="18"/>
          <w:szCs w:val="18"/>
          <w:lang w:val="en-GB"/>
        </w:rPr>
        <w:t xml:space="preserve">  If </w:t>
      </w:r>
      <w:r w:rsidRPr="00B134A4">
        <w:rPr>
          <w:rFonts w:ascii="Sylfaen" w:hAnsi="Sylfaen" w:cs="Arial"/>
          <w:b/>
          <w:sz w:val="18"/>
          <w:szCs w:val="18"/>
          <w:lang w:val="en-GB"/>
        </w:rPr>
        <w:t>Shinda03</w:t>
      </w:r>
      <w:r w:rsidRPr="00B134A4">
        <w:rPr>
          <w:rFonts w:ascii="Sylfaen" w:hAnsi="Sylfaen" w:cs="Arial"/>
          <w:sz w:val="18"/>
          <w:szCs w:val="18"/>
          <w:lang w:val="en-GB"/>
        </w:rPr>
        <w:t xml:space="preserve"> contains the product consumption (“consPurch_kg”+ “consNonCash_03_kg”&gt;0), the consumption of this product shall be calculated from Shinda03 (“consPurch_kg”+ “consNonCash_03_kg”); otherwise, product consumption shall be calculated </w:t>
      </w:r>
      <w:r w:rsidRPr="00B134A4">
        <w:rPr>
          <w:rFonts w:ascii="Sylfaen" w:hAnsi="Sylfaen" w:cs="Arial"/>
          <w:sz w:val="18"/>
          <w:szCs w:val="18"/>
          <w:lang w:val="en-GB"/>
        </w:rPr>
        <w:t>from</w:t>
      </w:r>
      <w:r w:rsidRPr="00B134A4">
        <w:rPr>
          <w:rFonts w:ascii="Sylfaen" w:hAnsi="Sylfaen" w:cs="Arial"/>
          <w:sz w:val="18"/>
          <w:szCs w:val="18"/>
          <w:lang w:val="en-GB"/>
        </w:rPr>
        <w:t xml:space="preserve"> </w:t>
      </w:r>
      <w:r w:rsidRPr="00B134A4">
        <w:rPr>
          <w:rFonts w:ascii="Sylfaen" w:hAnsi="Sylfaen" w:cs="Arial"/>
          <w:b/>
          <w:sz w:val="18"/>
          <w:szCs w:val="18"/>
          <w:lang w:val="en-GB"/>
        </w:rPr>
        <w:t>Shinda04</w:t>
      </w:r>
      <w:r w:rsidRPr="00B134A4">
        <w:rPr>
          <w:rFonts w:ascii="Sylfaen" w:hAnsi="Sylfaen" w:cs="Arial"/>
          <w:sz w:val="18"/>
          <w:szCs w:val="18"/>
          <w:lang w:val="en-GB"/>
        </w:rPr>
        <w:t xml:space="preserve"> (“cons_04_kg”).</w:t>
      </w:r>
    </w:p>
    <w:p w:rsidR="00E14093" w:rsidRPr="00B134A4" w:rsidRDefault="00E14093" w:rsidP="00E14093">
      <w:pPr>
        <w:spacing w:before="0" w:after="0"/>
        <w:jc w:val="both"/>
        <w:rPr>
          <w:rFonts w:ascii="Sylfaen" w:hAnsi="Sylfaen" w:cs="Arial"/>
          <w:sz w:val="18"/>
          <w:szCs w:val="18"/>
          <w:lang w:val="en-GB"/>
        </w:rPr>
      </w:pPr>
      <w:r w:rsidRPr="00B134A4">
        <w:rPr>
          <w:rFonts w:ascii="Sylfaen" w:hAnsi="Sylfaen" w:cs="Arial"/>
          <w:sz w:val="18"/>
          <w:szCs w:val="18"/>
          <w:vertAlign w:val="superscript"/>
          <w:lang w:val="en-GB"/>
        </w:rPr>
        <w:t>2</w:t>
      </w:r>
      <w:r w:rsidRPr="00B134A4">
        <w:rPr>
          <w:rFonts w:ascii="Sylfaen" w:hAnsi="Sylfaen" w:cs="Arial"/>
          <w:sz w:val="18"/>
          <w:szCs w:val="18"/>
          <w:lang w:val="en-GB"/>
        </w:rPr>
        <w:t xml:space="preserve">  = “cons” – “consPurch_kg”</w:t>
      </w:r>
    </w:p>
    <w:p w:rsidR="00E14093" w:rsidRPr="00B134A4" w:rsidRDefault="00E14093" w:rsidP="00E14093">
      <w:pPr>
        <w:pStyle w:val="af0"/>
        <w:rPr>
          <w:rFonts w:ascii="Sylfaen" w:hAnsi="Sylfaen"/>
          <w:lang w:val="en-GB"/>
        </w:rPr>
      </w:pPr>
      <w:bookmarkStart w:id="11" w:name="_Toc373756501"/>
      <w:r w:rsidRPr="00B134A4">
        <w:rPr>
          <w:rFonts w:ascii="Sylfaen" w:hAnsi="Sylfaen"/>
          <w:i/>
          <w:lang w:val="en-GB"/>
        </w:rPr>
        <w:t>Table</w:t>
      </w:r>
      <w:r w:rsidRPr="00B134A4">
        <w:rPr>
          <w:rFonts w:ascii="Sylfaen" w:hAnsi="Sylfaen"/>
          <w:lang w:val="en-GB"/>
        </w:rPr>
        <w:t xml:space="preserve">  tblExpenditures</w:t>
      </w:r>
      <w:bookmarkEnd w:id="11"/>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average monthly expenses of each household)</w:t>
      </w:r>
    </w:p>
    <w:tbl>
      <w:tblPr>
        <w:tblW w:w="10455" w:type="dxa"/>
        <w:tblInd w:w="93" w:type="dxa"/>
        <w:tblLook w:val="04A0" w:firstRow="1" w:lastRow="0" w:firstColumn="1" w:lastColumn="0" w:noHBand="0" w:noVBand="1"/>
      </w:tblPr>
      <w:tblGrid>
        <w:gridCol w:w="3104"/>
        <w:gridCol w:w="502"/>
        <w:gridCol w:w="5487"/>
        <w:gridCol w:w="1362"/>
      </w:tblGrid>
      <w:tr w:rsidR="00E14093" w:rsidRPr="00B134A4" w:rsidTr="00DA6A3F">
        <w:trPr>
          <w:trHeight w:val="330"/>
        </w:trPr>
        <w:tc>
          <w:tcPr>
            <w:tcW w:w="3104"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502" w:type="dxa"/>
            <w:tcBorders>
              <w:top w:val="single" w:sz="12" w:space="0" w:color="auto"/>
              <w:left w:val="single" w:sz="4" w:space="0" w:color="auto"/>
              <w:bottom w:val="double" w:sz="6"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 </w:t>
            </w:r>
          </w:p>
        </w:tc>
        <w:tc>
          <w:tcPr>
            <w:tcW w:w="5487"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c>
          <w:tcPr>
            <w:tcW w:w="1362" w:type="dxa"/>
            <w:tcBorders>
              <w:top w:val="single" w:sz="12" w:space="0" w:color="auto"/>
              <w:left w:val="single" w:sz="4" w:space="0" w:color="auto"/>
              <w:bottom w:val="double" w:sz="6"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w:t>
            </w:r>
          </w:p>
        </w:tc>
      </w:tr>
      <w:tr w:rsidR="00E14093" w:rsidRPr="00B134A4" w:rsidTr="00DA6A3F">
        <w:trPr>
          <w:trHeight w:val="315"/>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sursati__sasmeli__Tambaqo</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On food, drink, tobacco products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tansacmeli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-2</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On clothes and shoes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saojaxo</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-3</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On household goods</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samedicino</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-4</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On healthcare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energia</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-5</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On heating and electricity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transporti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-6</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On transport</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ganatleba</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-7</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On education</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sxva</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-8</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Other consumption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samomxmXarjebi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-9</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Monetary consumption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Total(1-8)</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sasoflo</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-10</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Agricultural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transferti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-11</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On transfers</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DazogvaAnCasesxeba</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-12</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On savings or lending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qonebis_seZena</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-13</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On acquisition of property</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SxvaGasavlebi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-14</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 xml:space="preserve">Non-consumption monetary expenditure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Total(10-13)</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Arafuladi_moxm_</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-15</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Non-monetary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 </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fuladixarjebi</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-16</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Monetary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9+14</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MTlianimoxmareba_</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-17</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Total consumption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9+15</w:t>
            </w:r>
          </w:p>
        </w:tc>
      </w:tr>
      <w:tr w:rsidR="00E14093" w:rsidRPr="00B134A4" w:rsidTr="00DA6A3F">
        <w:trPr>
          <w:trHeight w:val="3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MTlianixarjebi_</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-18</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Total expenditure</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15+16</w:t>
            </w:r>
          </w:p>
        </w:tc>
      </w:tr>
      <w:tr w:rsidR="00E14093" w:rsidRPr="00B134A4" w:rsidTr="00DA6A3F">
        <w:trPr>
          <w:trHeight w:val="600"/>
        </w:trPr>
        <w:tc>
          <w:tcPr>
            <w:tcW w:w="3104"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MTlianimoxmareba_EqAdScale</w:t>
            </w:r>
          </w:p>
        </w:tc>
        <w:tc>
          <w:tcPr>
            <w:tcW w:w="502"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-19</w:t>
            </w:r>
          </w:p>
        </w:tc>
        <w:tc>
          <w:tcPr>
            <w:tcW w:w="5487"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Total consumption expenditure recalculated per equivalent adult by taking account of cohabitation effect (coefficient 0.6) ***</w:t>
            </w:r>
          </w:p>
        </w:tc>
        <w:tc>
          <w:tcPr>
            <w:tcW w:w="1362"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615"/>
        </w:trPr>
        <w:tc>
          <w:tcPr>
            <w:tcW w:w="3104" w:type="dxa"/>
            <w:tcBorders>
              <w:top w:val="nil"/>
              <w:left w:val="single" w:sz="12" w:space="0" w:color="auto"/>
              <w:bottom w:val="single" w:sz="12"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Mtlianimoxmareba_EqAdScale_08</w:t>
            </w:r>
          </w:p>
        </w:tc>
        <w:tc>
          <w:tcPr>
            <w:tcW w:w="502" w:type="dxa"/>
            <w:tcBorders>
              <w:top w:val="nil"/>
              <w:left w:val="nil"/>
              <w:bottom w:val="single" w:sz="12"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-20</w:t>
            </w:r>
          </w:p>
        </w:tc>
        <w:tc>
          <w:tcPr>
            <w:tcW w:w="5487" w:type="dxa"/>
            <w:tcBorders>
              <w:top w:val="nil"/>
              <w:left w:val="nil"/>
              <w:bottom w:val="single" w:sz="12"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Total consumption expenditure recalculated per equivalent adult by taking account of cohabitation effect (coefficient 0.8) ***</w:t>
            </w:r>
          </w:p>
        </w:tc>
        <w:tc>
          <w:tcPr>
            <w:tcW w:w="1362" w:type="dxa"/>
            <w:tcBorders>
              <w:top w:val="nil"/>
              <w:left w:val="nil"/>
              <w:bottom w:val="single" w:sz="12"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bl>
    <w:p w:rsidR="00E14093" w:rsidRPr="00B134A4" w:rsidRDefault="00E14093" w:rsidP="00E14093">
      <w:pPr>
        <w:spacing w:before="0" w:after="0"/>
        <w:jc w:val="both"/>
        <w:rPr>
          <w:rStyle w:val="af2"/>
          <w:rFonts w:ascii="Sylfaen" w:hAnsi="Sylfaen"/>
          <w:lang w:val="en-GB"/>
        </w:rPr>
      </w:pPr>
    </w:p>
    <w:p w:rsidR="00E14093" w:rsidRPr="00B134A4" w:rsidRDefault="00E14093" w:rsidP="00E14093">
      <w:pPr>
        <w:pStyle w:val="af0"/>
        <w:rPr>
          <w:rFonts w:ascii="Sylfaen" w:hAnsi="Sylfaen"/>
          <w:lang w:val="en-GB"/>
        </w:rPr>
      </w:pPr>
      <w:bookmarkStart w:id="12" w:name="_Toc373756502"/>
      <w:r w:rsidRPr="00B134A4">
        <w:rPr>
          <w:rFonts w:ascii="Sylfaen" w:hAnsi="Sylfaen"/>
          <w:i/>
          <w:lang w:val="en-GB"/>
        </w:rPr>
        <w:t>Table</w:t>
      </w:r>
      <w:r w:rsidRPr="00B134A4">
        <w:rPr>
          <w:rFonts w:ascii="Sylfaen" w:hAnsi="Sylfaen"/>
          <w:lang w:val="en-GB"/>
        </w:rPr>
        <w:t xml:space="preserve">  tblIncomes</w:t>
      </w:r>
      <w:bookmarkEnd w:id="12"/>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average monthly income of each household)</w:t>
      </w:r>
    </w:p>
    <w:tbl>
      <w:tblPr>
        <w:tblW w:w="10455" w:type="dxa"/>
        <w:tblInd w:w="93" w:type="dxa"/>
        <w:tblLook w:val="04A0" w:firstRow="1" w:lastRow="0" w:firstColumn="1" w:lastColumn="0" w:noHBand="0" w:noVBand="1"/>
      </w:tblPr>
      <w:tblGrid>
        <w:gridCol w:w="3120"/>
        <w:gridCol w:w="495"/>
        <w:gridCol w:w="5490"/>
        <w:gridCol w:w="1350"/>
      </w:tblGrid>
      <w:tr w:rsidR="00E14093" w:rsidRPr="00B134A4" w:rsidTr="00DA6A3F">
        <w:trPr>
          <w:trHeight w:val="330"/>
        </w:trPr>
        <w:tc>
          <w:tcPr>
            <w:tcW w:w="312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lastRenderedPageBreak/>
              <w:t>Field</w:t>
            </w:r>
          </w:p>
        </w:tc>
        <w:tc>
          <w:tcPr>
            <w:tcW w:w="495" w:type="dxa"/>
            <w:tcBorders>
              <w:top w:val="single" w:sz="12" w:space="0" w:color="auto"/>
              <w:left w:val="single" w:sz="4" w:space="0" w:color="auto"/>
              <w:bottom w:val="double" w:sz="6"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 </w:t>
            </w:r>
          </w:p>
        </w:tc>
        <w:tc>
          <w:tcPr>
            <w:tcW w:w="549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c>
          <w:tcPr>
            <w:tcW w:w="1350" w:type="dxa"/>
            <w:tcBorders>
              <w:top w:val="single" w:sz="12" w:space="0" w:color="auto"/>
              <w:left w:val="single" w:sz="4" w:space="0" w:color="auto"/>
              <w:bottom w:val="double" w:sz="6"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w:t>
            </w:r>
          </w:p>
        </w:tc>
      </w:tr>
      <w:tr w:rsidR="00E14093" w:rsidRPr="00B134A4" w:rsidTr="00DA6A3F">
        <w:trPr>
          <w:trHeight w:val="315"/>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ShemDaq</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From hired work</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ShemTviTdasaqm</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-2</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From self-employment</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Shem_Sof</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-3</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From sales of agricultural products</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Qonebidan</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-4</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From property (rental, savings interest) </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PensStipDaxm</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-5</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Pensions, scholarships, aids </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Ucxoetidan</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-6</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Foreign remittance</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Axloblebisagan</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-7</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Cash received in the form of gift </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ShemosavaliDaTransf</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-8</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 xml:space="preserve">Cash incomes and  transfers </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Total(1-7)</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QonebisGayidvit</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-9</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Sale of property</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SesxAnDanazog</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-10</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Cash borrowings or use of savings </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SxvaFuladiSaxsrebi</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-11</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Other cash resources</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Total(9-10)</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ArafuladiMoxmareba</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-12</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Noncash income</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 </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Shemosavalisul</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-13</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Total income</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8+12</w:t>
            </w:r>
          </w:p>
        </w:tc>
      </w:tr>
      <w:tr w:rsidR="00E14093" w:rsidRPr="00B134A4" w:rsidTr="00DA6A3F">
        <w:trPr>
          <w:trHeight w:val="300"/>
        </w:trPr>
        <w:tc>
          <w:tcPr>
            <w:tcW w:w="3120" w:type="dxa"/>
            <w:tcBorders>
              <w:top w:val="nil"/>
              <w:left w:val="single" w:sz="12" w:space="0" w:color="auto"/>
              <w:bottom w:val="dotted" w:sz="4"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Fuladisaxsrebi</w:t>
            </w:r>
          </w:p>
        </w:tc>
        <w:tc>
          <w:tcPr>
            <w:tcW w:w="495"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-14</w:t>
            </w:r>
          </w:p>
        </w:tc>
        <w:tc>
          <w:tcPr>
            <w:tcW w:w="5490" w:type="dxa"/>
            <w:tcBorders>
              <w:top w:val="nil"/>
              <w:left w:val="nil"/>
              <w:bottom w:val="dotted" w:sz="4"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Total cash resources</w:t>
            </w:r>
          </w:p>
        </w:tc>
        <w:tc>
          <w:tcPr>
            <w:tcW w:w="1350" w:type="dxa"/>
            <w:tcBorders>
              <w:top w:val="nil"/>
              <w:left w:val="nil"/>
              <w:bottom w:val="dotted" w:sz="4"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8+11</w:t>
            </w:r>
          </w:p>
        </w:tc>
      </w:tr>
      <w:tr w:rsidR="00E14093" w:rsidRPr="00B134A4" w:rsidTr="00DA6A3F">
        <w:trPr>
          <w:trHeight w:val="315"/>
        </w:trPr>
        <w:tc>
          <w:tcPr>
            <w:tcW w:w="3120" w:type="dxa"/>
            <w:tcBorders>
              <w:top w:val="nil"/>
              <w:left w:val="single" w:sz="12" w:space="0" w:color="auto"/>
              <w:bottom w:val="single" w:sz="12" w:space="0" w:color="auto"/>
              <w:right w:val="single" w:sz="4"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Saxsrebi_Sul</w:t>
            </w:r>
          </w:p>
        </w:tc>
        <w:tc>
          <w:tcPr>
            <w:tcW w:w="495" w:type="dxa"/>
            <w:tcBorders>
              <w:top w:val="nil"/>
              <w:left w:val="nil"/>
              <w:bottom w:val="single" w:sz="12" w:space="0" w:color="auto"/>
              <w:right w:val="single" w:sz="4" w:space="0" w:color="auto"/>
            </w:tcBorders>
            <w:shd w:val="clear" w:color="auto" w:fill="auto"/>
            <w:vAlign w:val="center"/>
            <w:hideMark/>
          </w:tcPr>
          <w:p w:rsidR="00E14093" w:rsidRPr="00B134A4" w:rsidRDefault="00E14093" w:rsidP="00DA6A3F">
            <w:pPr>
              <w:spacing w:before="0" w:after="0"/>
              <w:jc w:val="right"/>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-15</w:t>
            </w:r>
          </w:p>
        </w:tc>
        <w:tc>
          <w:tcPr>
            <w:tcW w:w="5490" w:type="dxa"/>
            <w:tcBorders>
              <w:top w:val="nil"/>
              <w:left w:val="nil"/>
              <w:bottom w:val="single" w:sz="12" w:space="0" w:color="auto"/>
              <w:right w:val="single" w:sz="4"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Total cash and noncash income</w:t>
            </w:r>
          </w:p>
        </w:tc>
        <w:tc>
          <w:tcPr>
            <w:tcW w:w="1350" w:type="dxa"/>
            <w:tcBorders>
              <w:top w:val="nil"/>
              <w:left w:val="nil"/>
              <w:bottom w:val="single" w:sz="12" w:space="0" w:color="auto"/>
              <w:right w:val="single" w:sz="12" w:space="0" w:color="auto"/>
            </w:tcBorders>
            <w:shd w:val="clear" w:color="auto" w:fill="auto"/>
            <w:noWrap/>
            <w:vAlign w:val="center"/>
            <w:hideMark/>
          </w:tcPr>
          <w:p w:rsidR="00E14093" w:rsidRPr="00B134A4" w:rsidRDefault="00E14093" w:rsidP="00DA6A3F">
            <w:pPr>
              <w:spacing w:before="0" w:after="0"/>
              <w:rPr>
                <w:rFonts w:ascii="Sylfaen" w:hAnsi="Sylfaen" w:cs="Calibri"/>
                <w:b/>
                <w:bCs/>
                <w:sz w:val="20"/>
                <w:szCs w:val="20"/>
                <w:lang w:val="en-GB" w:eastAsia="en-US"/>
              </w:rPr>
            </w:pPr>
            <w:r w:rsidRPr="00B134A4">
              <w:rPr>
                <w:rFonts w:ascii="Sylfaen" w:hAnsi="Sylfaen" w:cs="Calibri"/>
                <w:b/>
                <w:bCs/>
                <w:sz w:val="20"/>
                <w:szCs w:val="20"/>
                <w:lang w:val="en-GB" w:eastAsia="en-US"/>
              </w:rPr>
              <w:t>12+14</w:t>
            </w:r>
          </w:p>
        </w:tc>
      </w:tr>
    </w:tbl>
    <w:p w:rsidR="00E14093" w:rsidRPr="00B134A4" w:rsidRDefault="00E14093" w:rsidP="00E14093">
      <w:pPr>
        <w:pStyle w:val="af0"/>
        <w:rPr>
          <w:rFonts w:ascii="Sylfaen" w:hAnsi="Sylfaen"/>
          <w:lang w:val="en-GB"/>
        </w:rPr>
      </w:pPr>
      <w:bookmarkStart w:id="13" w:name="_Toc373756509"/>
      <w:r w:rsidRPr="00B134A4">
        <w:rPr>
          <w:rFonts w:ascii="Sylfaen" w:hAnsi="Sylfaen"/>
          <w:i/>
          <w:lang w:val="en-GB"/>
        </w:rPr>
        <w:t>Table</w:t>
      </w:r>
      <w:r w:rsidRPr="00B134A4">
        <w:rPr>
          <w:rFonts w:ascii="Sylfaen" w:hAnsi="Sylfaen"/>
          <w:lang w:val="en-GB"/>
        </w:rPr>
        <w:t xml:space="preserve">  tblShinda02</w:t>
      </w:r>
      <w:bookmarkEnd w:id="13"/>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(Covering general data about each member of a household from Shinda02)</w:t>
      </w:r>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 xml:space="preserve"> </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single" w:sz="12" w:space="0" w:color="auto"/>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single" w:sz="12" w:space="0" w:color="auto"/>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MemberNo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Number assigned to a household member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Relations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Relationship to the head of the household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Gender</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Gender</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highlight w:val="yellow"/>
                <w:lang w:val="en-GB" w:eastAsia="en-US"/>
              </w:rPr>
            </w:pPr>
            <w:r w:rsidRPr="00B134A4">
              <w:rPr>
                <w:rFonts w:ascii="Sylfaen" w:hAnsi="Sylfaen" w:cs="Calibri"/>
                <w:sz w:val="20"/>
                <w:szCs w:val="20"/>
                <w:highlight w:val="yellow"/>
                <w:lang w:val="en-GB" w:eastAsia="en-US"/>
              </w:rPr>
              <w:t>BirthYear</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highlight w:val="yellow"/>
                <w:lang w:val="en-GB" w:eastAsia="en-US"/>
              </w:rPr>
            </w:pPr>
            <w:r w:rsidRPr="00B134A4">
              <w:rPr>
                <w:rFonts w:ascii="Sylfaen" w:hAnsi="Sylfaen" w:cs="Calibri"/>
                <w:sz w:val="20"/>
                <w:szCs w:val="20"/>
                <w:highlight w:val="yellow"/>
                <w:lang w:val="en-GB" w:eastAsia="en-US"/>
              </w:rPr>
              <w:t>Year if birth (removed from the questionnaire since 2002)</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highlight w:val="yellow"/>
                <w:lang w:val="en-GB" w:eastAsia="en-US"/>
              </w:rPr>
            </w:pPr>
            <w:r w:rsidRPr="00B134A4">
              <w:rPr>
                <w:rFonts w:ascii="Sylfaen" w:hAnsi="Sylfaen" w:cs="Calibri"/>
                <w:sz w:val="20"/>
                <w:szCs w:val="20"/>
                <w:highlight w:val="yellow"/>
                <w:lang w:val="en-GB" w:eastAsia="en-US"/>
              </w:rPr>
              <w:t>BirthDate</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highlight w:val="yellow"/>
                <w:lang w:val="en-GB" w:eastAsia="en-US"/>
              </w:rPr>
              <w:t>Date of birth (added since 2002)</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Education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Level of education achieved</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Height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Height of the interviewee (removed from the questionnaire since III quarter 2006)</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Weight</w:t>
            </w:r>
          </w:p>
        </w:tc>
        <w:tc>
          <w:tcPr>
            <w:tcW w:w="7060" w:type="dxa"/>
            <w:tcBorders>
              <w:top w:val="nil"/>
              <w:left w:val="nil"/>
              <w:bottom w:val="dotted" w:sz="4"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Weight of the interviewee (removed from the questionnaire since III quarter 2006)</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Nationality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National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MaritalStatus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Marital status</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YearsInThisCity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Duration of living at a given address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Migration</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If migrated to the given address, from where did it happen:</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SpecialStatus1</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 status 1</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SpecialStatus2</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Special status 2</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SpecialStatus3</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Special status 3 (removed from the questionnaire during 2002-2011 and added again in 2012)</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NotPresentNow</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Temporary absent (for the period of 3 months to 1 year)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Changes</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E14093">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Change in the composition of the household during the last three months as compared with </w:t>
            </w:r>
            <w:r>
              <w:rPr>
                <w:rFonts w:ascii="Sylfaen" w:hAnsi="Sylfaen" w:cs="Calibri"/>
                <w:sz w:val="20"/>
                <w:szCs w:val="20"/>
                <w:lang w:val="en-GB" w:eastAsia="en-US"/>
              </w:rPr>
              <w:t>the</w:t>
            </w:r>
            <w:r w:rsidRPr="00B134A4">
              <w:rPr>
                <w:rFonts w:ascii="Sylfaen" w:hAnsi="Sylfaen" w:cs="Calibri"/>
                <w:sz w:val="20"/>
                <w:szCs w:val="20"/>
                <w:lang w:val="en-GB" w:eastAsia="en-US"/>
              </w:rPr>
              <w:t xml:space="preserve"> first interview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Age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Age</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Insurance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Health insurance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InsuranceType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Type of health insurance</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lastRenderedPageBreak/>
              <w:t>EducationType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Type of educational institution attended?</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Q18_1</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Was a member of the household tutored during the last three months (added since 2012)</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Q18_2</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Did a member of the household attend sports classes during the last three months (added since 2012)</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Q18_3</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Did a member of the household attend art lessons during the last three months (added since 2012)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Q18_4</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Did a member of the household attend other classes during the last three months (added since 2012)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Q18_5</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Did a member of the household attend any professional/</w:t>
            </w:r>
            <w:r w:rsidRPr="00B134A4">
              <w:rPr>
                <w:rFonts w:ascii="Sylfaen" w:hAnsi="Sylfaen" w:cs="Calibri"/>
                <w:sz w:val="20"/>
                <w:szCs w:val="20"/>
                <w:lang w:val="en-GB" w:eastAsia="en-US"/>
              </w:rPr>
              <w:t>craf</w:t>
            </w:r>
            <w:r>
              <w:rPr>
                <w:rFonts w:ascii="Sylfaen" w:hAnsi="Sylfaen" w:cs="Calibri"/>
                <w:sz w:val="20"/>
                <w:szCs w:val="20"/>
                <w:lang w:val="en-GB" w:eastAsia="en-US"/>
              </w:rPr>
              <w:t>t</w:t>
            </w:r>
            <w:r w:rsidRPr="00B134A4">
              <w:rPr>
                <w:rFonts w:ascii="Sylfaen" w:hAnsi="Sylfaen" w:cs="Calibri"/>
                <w:sz w:val="20"/>
                <w:szCs w:val="20"/>
                <w:lang w:val="en-GB" w:eastAsia="en-US"/>
              </w:rPr>
              <w:t>smanship</w:t>
            </w:r>
            <w:r w:rsidRPr="00B134A4">
              <w:rPr>
                <w:rFonts w:ascii="Sylfaen" w:hAnsi="Sylfaen" w:cs="Calibri"/>
                <w:sz w:val="20"/>
                <w:szCs w:val="20"/>
                <w:lang w:val="en-GB" w:eastAsia="en-US"/>
              </w:rPr>
              <w:t xml:space="preserve"> courses during the last three months (added since 2012)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Q18_6</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Did a member of the household attend qualification upgrading courses during the last three months (added since 2012)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Internet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Did a member of the household use internet during the last 12 months (added since 2013) </w:t>
            </w:r>
          </w:p>
        </w:tc>
      </w:tr>
      <w:tr w:rsidR="00E14093" w:rsidRPr="00B134A4" w:rsidTr="00DA6A3F">
        <w:trPr>
          <w:trHeight w:val="615"/>
        </w:trPr>
        <w:tc>
          <w:tcPr>
            <w:tcW w:w="2800" w:type="dxa"/>
            <w:tcBorders>
              <w:top w:val="nil"/>
              <w:left w:val="single" w:sz="12" w:space="0" w:color="auto"/>
              <w:bottom w:val="single" w:sz="12" w:space="0" w:color="auto"/>
              <w:right w:val="single" w:sz="8" w:space="0" w:color="auto"/>
            </w:tcBorders>
            <w:shd w:val="clear" w:color="000000" w:fill="FFFF00"/>
            <w:noWrap/>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agegrMy</w:t>
            </w:r>
          </w:p>
        </w:tc>
        <w:tc>
          <w:tcPr>
            <w:tcW w:w="7060" w:type="dxa"/>
            <w:tcBorders>
              <w:top w:val="nil"/>
              <w:left w:val="nil"/>
              <w:bottom w:val="single" w:sz="12" w:space="0" w:color="auto"/>
              <w:right w:val="single" w:sz="12" w:space="0" w:color="auto"/>
            </w:tcBorders>
            <w:shd w:val="clear" w:color="000000" w:fill="FFFF00"/>
            <w:vAlign w:val="center"/>
            <w:hideMark/>
          </w:tcPr>
          <w:p w:rsidR="00E14093" w:rsidRPr="00B134A4" w:rsidRDefault="00E14093" w:rsidP="00DA6A3F">
            <w:pPr>
              <w:spacing w:before="0" w:after="0"/>
              <w:rPr>
                <w:rFonts w:ascii="Sylfaen" w:hAnsi="Sylfaen" w:cs="Calibri"/>
                <w:sz w:val="20"/>
                <w:szCs w:val="20"/>
                <w:lang w:val="en-GB" w:eastAsia="en-US"/>
              </w:rPr>
            </w:pPr>
            <w:r w:rsidRPr="00B134A4">
              <w:rPr>
                <w:rFonts w:ascii="Sylfaen" w:hAnsi="Sylfaen" w:cs="Calibri"/>
                <w:sz w:val="20"/>
                <w:szCs w:val="20"/>
                <w:lang w:val="en-GB" w:eastAsia="en-US"/>
              </w:rPr>
              <w:t xml:space="preserve">6 gender-age groups of a population created for the calculation of consumer </w:t>
            </w:r>
            <w:r w:rsidRPr="00B134A4">
              <w:rPr>
                <w:rFonts w:ascii="Sylfaen" w:hAnsi="Sylfaen" w:cs="Calibri"/>
                <w:sz w:val="20"/>
                <w:szCs w:val="20"/>
                <w:lang w:val="en-GB" w:eastAsia="en-US"/>
              </w:rPr>
              <w:t>expenditure</w:t>
            </w:r>
            <w:r w:rsidRPr="00B134A4">
              <w:rPr>
                <w:rFonts w:ascii="Sylfaen" w:hAnsi="Sylfaen" w:cs="Calibri"/>
                <w:sz w:val="20"/>
                <w:szCs w:val="20"/>
                <w:lang w:val="en-GB" w:eastAsia="en-US"/>
              </w:rPr>
              <w:t xml:space="preserve"> per equivalent adult**</w:t>
            </w:r>
          </w:p>
        </w:tc>
      </w:tr>
    </w:tbl>
    <w:p w:rsidR="00E14093" w:rsidRPr="00B134A4" w:rsidRDefault="00E14093" w:rsidP="00E14093">
      <w:pPr>
        <w:spacing w:before="0"/>
        <w:jc w:val="both"/>
        <w:rPr>
          <w:rFonts w:ascii="Sylfaen" w:hAnsi="Sylfaen"/>
          <w:b/>
          <w:i/>
          <w:sz w:val="18"/>
          <w:szCs w:val="18"/>
          <w:lang w:val="en-GB"/>
        </w:rPr>
      </w:pPr>
      <w:r w:rsidRPr="00B134A4">
        <w:rPr>
          <w:rFonts w:ascii="Sylfaen" w:hAnsi="Sylfaen"/>
          <w:b/>
          <w:i/>
          <w:sz w:val="18"/>
          <w:szCs w:val="18"/>
          <w:lang w:val="en-GB"/>
        </w:rPr>
        <w:t xml:space="preserve">Note: </w:t>
      </w:r>
      <w:r w:rsidRPr="00B134A4">
        <w:rPr>
          <w:rFonts w:ascii="Sylfaen" w:hAnsi="Sylfaen"/>
          <w:b/>
          <w:i/>
          <w:sz w:val="18"/>
          <w:szCs w:val="18"/>
          <w:lang w:val="en-GB"/>
        </w:rPr>
        <w:t>Questions</w:t>
      </w:r>
      <w:r w:rsidRPr="00B134A4">
        <w:rPr>
          <w:rFonts w:ascii="Sylfaen" w:hAnsi="Sylfaen"/>
          <w:b/>
          <w:i/>
          <w:sz w:val="18"/>
          <w:szCs w:val="18"/>
          <w:lang w:val="en-GB"/>
        </w:rPr>
        <w:t xml:space="preserve"> Q18_1</w:t>
      </w:r>
      <w:r w:rsidRPr="00B134A4">
        <w:rPr>
          <w:rFonts w:ascii="Sylfaen" w:hAnsi="Sylfaen"/>
          <w:i/>
          <w:sz w:val="18"/>
          <w:szCs w:val="18"/>
          <w:lang w:val="en-GB"/>
        </w:rPr>
        <w:t xml:space="preserve"> - </w:t>
      </w:r>
      <w:r w:rsidRPr="00B134A4">
        <w:rPr>
          <w:rFonts w:ascii="Sylfaen" w:hAnsi="Sylfaen"/>
          <w:b/>
          <w:i/>
          <w:sz w:val="18"/>
          <w:szCs w:val="18"/>
          <w:lang w:val="en-GB"/>
        </w:rPr>
        <w:t>Q18_6</w:t>
      </w:r>
      <w:r w:rsidRPr="00B134A4">
        <w:rPr>
          <w:rFonts w:ascii="Sylfaen" w:hAnsi="Sylfaen"/>
          <w:i/>
          <w:sz w:val="18"/>
          <w:szCs w:val="18"/>
          <w:lang w:val="en-GB"/>
        </w:rPr>
        <w:t xml:space="preserve"> were added in 2012 (the corresponding data were collected in Shinda09</w:t>
      </w:r>
      <w:r>
        <w:rPr>
          <w:rFonts w:ascii="Sylfaen" w:hAnsi="Sylfaen"/>
          <w:i/>
          <w:sz w:val="18"/>
          <w:szCs w:val="18"/>
          <w:lang w:val="en-GB"/>
        </w:rPr>
        <w:t xml:space="preserve"> </w:t>
      </w:r>
      <w:r w:rsidRPr="00B134A4">
        <w:rPr>
          <w:rFonts w:ascii="Sylfaen" w:hAnsi="Sylfaen"/>
          <w:i/>
          <w:sz w:val="18"/>
          <w:szCs w:val="18"/>
          <w:lang w:val="en-GB"/>
        </w:rPr>
        <w:t>which was invalidated in 2012).</w:t>
      </w:r>
    </w:p>
    <w:p w:rsidR="00E14093" w:rsidRPr="00B134A4" w:rsidRDefault="00E14093" w:rsidP="00E14093">
      <w:pPr>
        <w:pStyle w:val="af0"/>
        <w:rPr>
          <w:rFonts w:ascii="Sylfaen" w:hAnsi="Sylfaen"/>
          <w:lang w:val="en-GB"/>
        </w:rPr>
      </w:pPr>
      <w:bookmarkStart w:id="14" w:name="_Toc373756510"/>
      <w:r w:rsidRPr="00B134A4">
        <w:rPr>
          <w:rFonts w:ascii="Sylfaen" w:hAnsi="Sylfaen"/>
          <w:i/>
          <w:lang w:val="en-GB"/>
        </w:rPr>
        <w:t>Table</w:t>
      </w:r>
      <w:r w:rsidRPr="00B134A4">
        <w:rPr>
          <w:rFonts w:ascii="Sylfaen" w:hAnsi="Sylfaen"/>
          <w:lang w:val="en-GB"/>
        </w:rPr>
        <w:t xml:space="preserve">  tblShinda03_1</w:t>
      </w:r>
      <w:bookmarkEnd w:id="14"/>
    </w:p>
    <w:p w:rsidR="00E14093" w:rsidRPr="00B134A4" w:rsidRDefault="00E14093" w:rsidP="00E14093">
      <w:pPr>
        <w:spacing w:before="0" w:after="0"/>
        <w:jc w:val="both"/>
        <w:rPr>
          <w:rStyle w:val="af2"/>
          <w:rFonts w:ascii="Sylfaen" w:hAnsi="Sylfaen"/>
          <w:lang w:val="en-GB"/>
        </w:rPr>
      </w:pPr>
      <w:r w:rsidRPr="00B134A4">
        <w:rPr>
          <w:rStyle w:val="af2"/>
          <w:rFonts w:ascii="Sylfaen" w:hAnsi="Sylfaen"/>
          <w:lang w:val="en-GB"/>
        </w:rPr>
        <w:t xml:space="preserve">(Covering daily data for each household </w:t>
      </w:r>
      <w:r w:rsidRPr="00B134A4">
        <w:rPr>
          <w:rStyle w:val="af2"/>
          <w:rFonts w:ascii="Sylfaen" w:hAnsi="Sylfaen"/>
          <w:lang w:val="en-GB"/>
        </w:rPr>
        <w:t>from</w:t>
      </w:r>
      <w:r w:rsidRPr="00B134A4">
        <w:rPr>
          <w:rStyle w:val="af2"/>
          <w:rFonts w:ascii="Sylfaen" w:hAnsi="Sylfaen"/>
          <w:lang w:val="en-GB"/>
        </w:rPr>
        <w:t xml:space="preserve"> Shinda03)</w:t>
      </w:r>
    </w:p>
    <w:tbl>
      <w:tblPr>
        <w:tblW w:w="9860" w:type="dxa"/>
        <w:tblInd w:w="93" w:type="dxa"/>
        <w:tblLook w:val="04A0" w:firstRow="1" w:lastRow="0" w:firstColumn="1" w:lastColumn="0" w:noHBand="0" w:noVBand="1"/>
      </w:tblPr>
      <w:tblGrid>
        <w:gridCol w:w="2800"/>
        <w:gridCol w:w="7060"/>
      </w:tblGrid>
      <w:tr w:rsidR="00E14093" w:rsidRPr="00B134A4" w:rsidTr="00DA6A3F">
        <w:trPr>
          <w:trHeight w:val="330"/>
        </w:trPr>
        <w:tc>
          <w:tcPr>
            <w:tcW w:w="2800" w:type="dxa"/>
            <w:tcBorders>
              <w:top w:val="single" w:sz="12" w:space="0" w:color="auto"/>
              <w:left w:val="single" w:sz="12" w:space="0" w:color="auto"/>
              <w:bottom w:val="double" w:sz="6"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Field</w:t>
            </w:r>
          </w:p>
        </w:tc>
        <w:tc>
          <w:tcPr>
            <w:tcW w:w="7060" w:type="dxa"/>
            <w:tcBorders>
              <w:top w:val="single" w:sz="12" w:space="0" w:color="auto"/>
              <w:left w:val="nil"/>
              <w:bottom w:val="double" w:sz="6"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b/>
                <w:bCs/>
                <w:color w:val="000000"/>
                <w:sz w:val="20"/>
                <w:szCs w:val="20"/>
                <w:lang w:val="en-GB" w:eastAsia="en-US"/>
              </w:rPr>
            </w:pPr>
            <w:r w:rsidRPr="00B134A4">
              <w:rPr>
                <w:rFonts w:ascii="Sylfaen" w:hAnsi="Sylfaen" w:cs="Calibri"/>
                <w:b/>
                <w:bCs/>
                <w:color w:val="000000"/>
                <w:sz w:val="20"/>
                <w:szCs w:val="20"/>
                <w:lang w:val="en-GB" w:eastAsia="en-US"/>
              </w:rPr>
              <w:t>Description</w:t>
            </w:r>
          </w:p>
        </w:tc>
      </w:tr>
      <w:tr w:rsidR="00E14093" w:rsidRPr="00B134A4" w:rsidTr="00DA6A3F">
        <w:trPr>
          <w:trHeight w:val="315"/>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UID</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Unique household code assigned in the quarter*</w:t>
            </w:r>
          </w:p>
        </w:tc>
      </w:tr>
      <w:tr w:rsidR="00E14093" w:rsidRPr="00B134A4" w:rsidTr="00DA6A3F">
        <w:trPr>
          <w:trHeight w:val="12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PartNo</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Part number in Shinda03 (1 – expenses on food products and drinks; 2 – expenses on eating out; 3 – expenses on non-food products and services; 4 – personal expenses)</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DayOfInterview</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Day of interview (8 – personal expenses)</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ProductCode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Product/service code (according to COICOP classification)</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MesurementUnit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Unit of measurement (for PartNo 1 and PartNo 3) </w:t>
            </w:r>
          </w:p>
        </w:tc>
      </w:tr>
      <w:tr w:rsidR="00E14093" w:rsidRPr="00B134A4" w:rsidTr="00DA6A3F">
        <w:trPr>
          <w:trHeight w:val="6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Quantity</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Quantity for PartNo 1 and PartNo 3; How many persons did get the meal (number) for PartNo 2</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QuantityPerOneUnit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Quantity (gram or </w:t>
            </w:r>
            <w:r w:rsidRPr="00B134A4">
              <w:rPr>
                <w:rFonts w:ascii="Sylfaen" w:hAnsi="Sylfaen" w:cs="Calibri"/>
                <w:color w:val="000000"/>
                <w:sz w:val="20"/>
                <w:szCs w:val="20"/>
                <w:lang w:val="en-GB" w:eastAsia="en-US"/>
              </w:rPr>
              <w:t>millilitre</w:t>
            </w:r>
            <w:r w:rsidRPr="00B134A4">
              <w:rPr>
                <w:rFonts w:ascii="Sylfaen" w:hAnsi="Sylfaen" w:cs="Calibri"/>
                <w:color w:val="000000"/>
                <w:sz w:val="20"/>
                <w:szCs w:val="20"/>
                <w:lang w:val="en-GB" w:eastAsia="en-US"/>
              </w:rPr>
              <w:t>) in units, for PartNo 1 only</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PriceL</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Amount of Gel paid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PriceT</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Amount of Tetri paid </w:t>
            </w:r>
          </w:p>
        </w:tc>
      </w:tr>
      <w:tr w:rsidR="00E14093" w:rsidRPr="00B134A4" w:rsidTr="00DA6A3F">
        <w:trPr>
          <w:trHeight w:val="300"/>
        </w:trPr>
        <w:tc>
          <w:tcPr>
            <w:tcW w:w="2800" w:type="dxa"/>
            <w:tcBorders>
              <w:top w:val="nil"/>
              <w:left w:val="single" w:sz="12" w:space="0" w:color="auto"/>
              <w:bottom w:val="dotted" w:sz="4"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Source</w:t>
            </w:r>
          </w:p>
        </w:tc>
        <w:tc>
          <w:tcPr>
            <w:tcW w:w="7060" w:type="dxa"/>
            <w:tcBorders>
              <w:top w:val="nil"/>
              <w:left w:val="nil"/>
              <w:bottom w:val="dotted" w:sz="4"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 xml:space="preserve">Origin </w:t>
            </w:r>
            <w:r w:rsidRPr="00B134A4">
              <w:rPr>
                <w:rFonts w:ascii="Sylfaen" w:hAnsi="Sylfaen" w:cs="Calibri"/>
                <w:color w:val="000000"/>
                <w:sz w:val="20"/>
                <w:szCs w:val="20"/>
                <w:lang w:val="en-GB" w:eastAsia="en-US"/>
              </w:rPr>
              <w:t>of</w:t>
            </w:r>
            <w:r w:rsidRPr="00B134A4">
              <w:rPr>
                <w:rFonts w:ascii="Sylfaen" w:hAnsi="Sylfaen" w:cs="Calibri"/>
                <w:color w:val="000000"/>
                <w:sz w:val="20"/>
                <w:szCs w:val="20"/>
                <w:lang w:val="en-GB" w:eastAsia="en-US"/>
              </w:rPr>
              <w:t xml:space="preserve"> the product (for PartNo 1 and PartNo 3)</w:t>
            </w:r>
          </w:p>
        </w:tc>
      </w:tr>
      <w:tr w:rsidR="00E14093" w:rsidRPr="00B134A4" w:rsidTr="00DA6A3F">
        <w:trPr>
          <w:trHeight w:val="315"/>
        </w:trPr>
        <w:tc>
          <w:tcPr>
            <w:tcW w:w="2800" w:type="dxa"/>
            <w:tcBorders>
              <w:top w:val="nil"/>
              <w:left w:val="single" w:sz="12" w:space="0" w:color="auto"/>
              <w:bottom w:val="single" w:sz="12" w:space="0" w:color="auto"/>
              <w:right w:val="single" w:sz="8" w:space="0" w:color="auto"/>
            </w:tcBorders>
            <w:shd w:val="clear" w:color="auto" w:fill="auto"/>
            <w:noWrap/>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Purpose</w:t>
            </w:r>
          </w:p>
        </w:tc>
        <w:tc>
          <w:tcPr>
            <w:tcW w:w="7060" w:type="dxa"/>
            <w:tcBorders>
              <w:top w:val="nil"/>
              <w:left w:val="nil"/>
              <w:bottom w:val="single" w:sz="12" w:space="0" w:color="auto"/>
              <w:right w:val="single" w:sz="12" w:space="0" w:color="auto"/>
            </w:tcBorders>
            <w:shd w:val="clear" w:color="auto" w:fill="auto"/>
            <w:vAlign w:val="center"/>
            <w:hideMark/>
          </w:tcPr>
          <w:p w:rsidR="00E14093" w:rsidRPr="00B134A4" w:rsidRDefault="00E14093" w:rsidP="00DA6A3F">
            <w:pPr>
              <w:spacing w:before="0" w:after="0"/>
              <w:rPr>
                <w:rFonts w:ascii="Sylfaen" w:hAnsi="Sylfaen" w:cs="Calibri"/>
                <w:color w:val="000000"/>
                <w:sz w:val="20"/>
                <w:szCs w:val="20"/>
                <w:lang w:val="en-GB" w:eastAsia="en-US"/>
              </w:rPr>
            </w:pPr>
            <w:r w:rsidRPr="00B134A4">
              <w:rPr>
                <w:rFonts w:ascii="Sylfaen" w:hAnsi="Sylfaen" w:cs="Calibri"/>
                <w:color w:val="000000"/>
                <w:sz w:val="20"/>
                <w:szCs w:val="20"/>
                <w:lang w:val="en-GB" w:eastAsia="en-US"/>
              </w:rPr>
              <w:t>Purpose of the product (for PartNo 1)</w:t>
            </w:r>
          </w:p>
        </w:tc>
      </w:tr>
    </w:tbl>
    <w:p w:rsidR="00E14093" w:rsidRPr="00B134A4" w:rsidRDefault="00E14093" w:rsidP="00E14093">
      <w:pPr>
        <w:pStyle w:val="af0"/>
        <w:rPr>
          <w:rFonts w:ascii="Sylfaen" w:hAnsi="Sylfaen"/>
          <w:i/>
          <w:lang w:val="en-GB"/>
        </w:rPr>
      </w:pPr>
      <w:r w:rsidRPr="00B134A4">
        <w:rPr>
          <w:rFonts w:ascii="Sylfaen" w:hAnsi="Sylfaen"/>
          <w:i/>
          <w:lang w:val="en-GB"/>
        </w:rPr>
        <w:t>Definitions</w:t>
      </w:r>
    </w:p>
    <w:p w:rsidR="00E14093" w:rsidRPr="00B134A4" w:rsidRDefault="00E14093" w:rsidP="00E14093">
      <w:pPr>
        <w:jc w:val="both"/>
        <w:rPr>
          <w:rStyle w:val="af2"/>
          <w:rFonts w:ascii="Sylfaen" w:hAnsi="Sylfaen"/>
          <w:b w:val="0"/>
          <w:i w:val="0"/>
          <w:iCs/>
          <w:sz w:val="20"/>
          <w:szCs w:val="20"/>
          <w:lang w:val="en-GB"/>
        </w:rPr>
      </w:pPr>
      <w:r w:rsidRPr="00B134A4">
        <w:rPr>
          <w:rStyle w:val="af2"/>
          <w:rFonts w:ascii="Sylfaen" w:hAnsi="Sylfaen"/>
          <w:b w:val="0"/>
          <w:sz w:val="20"/>
          <w:szCs w:val="20"/>
          <w:lang w:val="en-GB"/>
        </w:rPr>
        <w:t>*</w:t>
      </w:r>
      <w:r w:rsidRPr="00B134A4">
        <w:rPr>
          <w:rStyle w:val="af2"/>
          <w:rFonts w:ascii="Sylfaen" w:hAnsi="Sylfaen"/>
          <w:b w:val="0"/>
          <w:i w:val="0"/>
          <w:iCs/>
          <w:sz w:val="20"/>
          <w:szCs w:val="20"/>
          <w:lang w:val="en-GB"/>
        </w:rPr>
        <w:tab/>
        <w:t>UID – a unique household code. Each household is assigned a unique code DiaryID which is retained for the given household till the accomplishment of all the interviews (visits) while the unique number (UID) of the household is changed at each interview, i.e. a household gets a new UID at each interview (each quarter).</w:t>
      </w:r>
    </w:p>
    <w:p w:rsidR="00E14093" w:rsidRPr="00B134A4" w:rsidRDefault="00E14093" w:rsidP="00E14093">
      <w:pPr>
        <w:jc w:val="both"/>
        <w:rPr>
          <w:rStyle w:val="af2"/>
          <w:rFonts w:ascii="Sylfaen" w:hAnsi="Sylfaen"/>
          <w:b w:val="0"/>
          <w:i w:val="0"/>
          <w:sz w:val="20"/>
          <w:szCs w:val="20"/>
          <w:lang w:val="en-GB"/>
        </w:rPr>
      </w:pPr>
      <w:r w:rsidRPr="00B134A4">
        <w:rPr>
          <w:rStyle w:val="af2"/>
          <w:rFonts w:ascii="Sylfaen" w:hAnsi="Sylfaen"/>
          <w:b w:val="0"/>
          <w:i w:val="0"/>
          <w:sz w:val="20"/>
          <w:szCs w:val="20"/>
          <w:lang w:val="en-GB"/>
        </w:rPr>
        <w:t>**</w:t>
      </w:r>
      <w:r w:rsidRPr="00B134A4">
        <w:rPr>
          <w:rStyle w:val="af2"/>
          <w:rFonts w:ascii="Sylfaen" w:hAnsi="Sylfaen"/>
          <w:b w:val="0"/>
          <w:i w:val="0"/>
          <w:sz w:val="20"/>
          <w:szCs w:val="20"/>
          <w:lang w:val="en-GB"/>
        </w:rPr>
        <w:tab/>
        <w:t xml:space="preserve">Number of equivalent adults is calculated for each household. This value depends on the gender and age of a member of a household. There are 6 age-gender groups and the corresponding coefficients assigned to them: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lastRenderedPageBreak/>
        <w:t xml:space="preserve">Child (0-7 year) coefficient – 0.64;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t>Adolescent</w:t>
      </w:r>
      <w:r w:rsidRPr="00B134A4">
        <w:rPr>
          <w:rStyle w:val="af2"/>
          <w:rFonts w:ascii="Sylfaen" w:hAnsi="Sylfaen"/>
          <w:b w:val="0"/>
          <w:i w:val="0"/>
          <w:sz w:val="20"/>
          <w:szCs w:val="20"/>
          <w:lang w:val="en-GB"/>
        </w:rPr>
        <w:t xml:space="preserve"> (8-15 years) coefficient – 1;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t xml:space="preserve">Employable man (16-64 years) coefficient – 1;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t xml:space="preserve">Employable woman (16-59 year) coefficient – 0.84;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t xml:space="preserve">Man of pension age (65 years and older) coefficient – 0.88; </w:t>
      </w:r>
    </w:p>
    <w:p w:rsidR="00E14093" w:rsidRPr="00B134A4" w:rsidRDefault="00E14093" w:rsidP="00E14093">
      <w:pPr>
        <w:pStyle w:val="af5"/>
        <w:numPr>
          <w:ilvl w:val="0"/>
          <w:numId w:val="5"/>
        </w:numPr>
        <w:spacing w:before="120"/>
        <w:jc w:val="both"/>
        <w:rPr>
          <w:rStyle w:val="af2"/>
          <w:rFonts w:ascii="Sylfaen" w:hAnsi="Sylfaen"/>
          <w:b w:val="0"/>
          <w:i w:val="0"/>
          <w:sz w:val="20"/>
          <w:szCs w:val="20"/>
          <w:lang w:val="en-GB"/>
        </w:rPr>
      </w:pPr>
      <w:r w:rsidRPr="00B134A4">
        <w:rPr>
          <w:rStyle w:val="af2"/>
          <w:rFonts w:ascii="Sylfaen" w:hAnsi="Sylfaen"/>
          <w:b w:val="0"/>
          <w:i w:val="0"/>
          <w:sz w:val="20"/>
          <w:szCs w:val="20"/>
          <w:lang w:val="en-GB"/>
        </w:rPr>
        <w:t xml:space="preserve">Women of pension age (60 years and older) coefficient – 0.76; </w:t>
      </w:r>
    </w:p>
    <w:p w:rsidR="00E14093" w:rsidRPr="00B134A4" w:rsidRDefault="00E14093" w:rsidP="00E14093">
      <w:pPr>
        <w:jc w:val="both"/>
        <w:rPr>
          <w:rStyle w:val="af2"/>
          <w:rFonts w:ascii="Sylfaen" w:hAnsi="Sylfaen"/>
          <w:b w:val="0"/>
          <w:i w:val="0"/>
          <w:sz w:val="20"/>
          <w:szCs w:val="20"/>
          <w:lang w:val="en-GB"/>
        </w:rPr>
      </w:pPr>
      <w:r w:rsidRPr="00B134A4">
        <w:rPr>
          <w:rStyle w:val="af2"/>
          <w:rFonts w:ascii="Sylfaen" w:hAnsi="Sylfaen"/>
          <w:b w:val="0"/>
          <w:i w:val="0"/>
          <w:sz w:val="20"/>
          <w:szCs w:val="20"/>
          <w:lang w:val="en-GB"/>
        </w:rPr>
        <w:t>Each member of a household gets the mentioned coefficient and the coefficients ar</w:t>
      </w:r>
      <w:bookmarkStart w:id="15" w:name="_GoBack"/>
      <w:bookmarkEnd w:id="15"/>
      <w:r w:rsidRPr="00B134A4">
        <w:rPr>
          <w:rStyle w:val="af2"/>
          <w:rFonts w:ascii="Sylfaen" w:hAnsi="Sylfaen"/>
          <w:b w:val="0"/>
          <w:i w:val="0"/>
          <w:sz w:val="20"/>
          <w:szCs w:val="20"/>
          <w:lang w:val="en-GB"/>
        </w:rPr>
        <w:t xml:space="preserve">e summed. </w:t>
      </w:r>
    </w:p>
    <w:p w:rsidR="00E14093" w:rsidRPr="00B134A4" w:rsidRDefault="00E14093" w:rsidP="00E14093">
      <w:pPr>
        <w:jc w:val="both"/>
        <w:rPr>
          <w:rStyle w:val="af2"/>
          <w:rFonts w:ascii="Sylfaen" w:hAnsi="Sylfaen"/>
          <w:b w:val="0"/>
          <w:i w:val="0"/>
          <w:sz w:val="20"/>
          <w:szCs w:val="20"/>
          <w:lang w:val="en-GB"/>
        </w:rPr>
      </w:pPr>
      <w:r w:rsidRPr="00B134A4">
        <w:rPr>
          <w:rStyle w:val="af2"/>
          <w:rFonts w:ascii="Sylfaen" w:hAnsi="Sylfaen"/>
          <w:b w:val="0"/>
          <w:i w:val="0"/>
          <w:sz w:val="20"/>
          <w:szCs w:val="20"/>
          <w:lang w:val="en-GB"/>
        </w:rPr>
        <w:t>***</w:t>
      </w:r>
      <w:r w:rsidRPr="00B134A4">
        <w:rPr>
          <w:rStyle w:val="af2"/>
          <w:rFonts w:ascii="Sylfaen" w:hAnsi="Sylfaen"/>
          <w:b w:val="0"/>
          <w:i w:val="0"/>
          <w:sz w:val="20"/>
          <w:szCs w:val="20"/>
          <w:lang w:val="en-GB"/>
        </w:rPr>
        <w:tab/>
        <w:t>Number of equivalent adults is calculated for each household by taking account of the coefficient of cohabitation effect. Two data is calculated according to two different coefficients - 0.6 and 0.8. The effect of cohabitation implies that, for instance, expenditure will be more in case of two households with one member in each than in case of one household with two members because they share certain types of expenditure (e.g. rental payment, utilities, etc.). In case the size of a household (number of members) is one this data stays the same and is equal to number of equivalent adults while in other cases it is equal to number of equivalent adult raised to the power of 0.6 or 0.8 considering the coefficients 0.6 and 0.8 respectively.</w:t>
      </w:r>
    </w:p>
    <w:p w:rsidR="00E14093" w:rsidRPr="00B134A4" w:rsidRDefault="00E14093" w:rsidP="00E14093">
      <w:pPr>
        <w:jc w:val="both"/>
        <w:rPr>
          <w:rStyle w:val="af2"/>
          <w:rFonts w:ascii="Sylfaen" w:hAnsi="Sylfaen"/>
          <w:b w:val="0"/>
          <w:i w:val="0"/>
          <w:sz w:val="20"/>
          <w:szCs w:val="20"/>
          <w:lang w:val="en-GB"/>
        </w:rPr>
      </w:pPr>
      <w:r w:rsidRPr="00B134A4">
        <w:rPr>
          <w:rStyle w:val="af2"/>
          <w:rFonts w:ascii="Sylfaen" w:hAnsi="Sylfaen"/>
          <w:i w:val="0"/>
          <w:sz w:val="20"/>
          <w:szCs w:val="20"/>
          <w:lang w:val="en-GB"/>
        </w:rPr>
        <w:t>Note:</w:t>
      </w:r>
      <w:r w:rsidRPr="00B134A4">
        <w:rPr>
          <w:rStyle w:val="af2"/>
          <w:rFonts w:ascii="Sylfaen" w:hAnsi="Sylfaen"/>
          <w:b w:val="0"/>
          <w:i w:val="0"/>
          <w:sz w:val="20"/>
          <w:szCs w:val="20"/>
          <w:lang w:val="en-GB"/>
        </w:rPr>
        <w:t xml:space="preserve"> The </w:t>
      </w:r>
      <w:r w:rsidRPr="00B134A4">
        <w:rPr>
          <w:rStyle w:val="af2"/>
          <w:rFonts w:ascii="Sylfaen" w:hAnsi="Sylfaen"/>
          <w:b w:val="0"/>
          <w:i w:val="0"/>
          <w:sz w:val="20"/>
          <w:szCs w:val="20"/>
          <w:lang w:val="en-GB"/>
        </w:rPr>
        <w:t>fields</w:t>
      </w:r>
      <w:r w:rsidRPr="00B134A4">
        <w:rPr>
          <w:rStyle w:val="af2"/>
          <w:rFonts w:ascii="Sylfaen" w:hAnsi="Sylfaen"/>
          <w:b w:val="0"/>
          <w:i w:val="0"/>
          <w:sz w:val="20"/>
          <w:szCs w:val="20"/>
          <w:lang w:val="en-GB"/>
        </w:rPr>
        <w:t xml:space="preserve"> highlighted in yellow are no longer included in the calculation </w:t>
      </w:r>
    </w:p>
    <w:p w:rsidR="00AC1E46" w:rsidRPr="00E14093" w:rsidRDefault="00E14093">
      <w:pPr>
        <w:rPr>
          <w:lang w:val="en-GB"/>
        </w:rPr>
      </w:pPr>
    </w:p>
    <w:sectPr w:rsidR="00AC1E46" w:rsidRPr="00E14093" w:rsidSect="008F109F">
      <w:footerReference w:type="even" r:id="rId5"/>
      <w:footerReference w:type="default" r:id="rId6"/>
      <w:pgSz w:w="11906" w:h="16838"/>
      <w:pgMar w:top="720" w:right="101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C1" w:rsidRDefault="00E14093" w:rsidP="00DD746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2CC1" w:rsidRDefault="00E140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C1" w:rsidRDefault="00E14093" w:rsidP="00DD746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7E2CC1" w:rsidRDefault="00E14093">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FBC"/>
    <w:multiLevelType w:val="hybridMultilevel"/>
    <w:tmpl w:val="CCBE2566"/>
    <w:lvl w:ilvl="0" w:tplc="BF48E05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3455D"/>
    <w:multiLevelType w:val="hybridMultilevel"/>
    <w:tmpl w:val="96E8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2791A"/>
    <w:multiLevelType w:val="hybridMultilevel"/>
    <w:tmpl w:val="51FE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794D"/>
    <w:multiLevelType w:val="hybridMultilevel"/>
    <w:tmpl w:val="191C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A2C9B"/>
    <w:multiLevelType w:val="hybridMultilevel"/>
    <w:tmpl w:val="4184C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564251"/>
    <w:multiLevelType w:val="hybridMultilevel"/>
    <w:tmpl w:val="BDC2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93"/>
    <w:rsid w:val="007D379A"/>
    <w:rsid w:val="00AD3A70"/>
    <w:rsid w:val="00E1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22BD-CF09-4749-AA50-637C9608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093"/>
    <w:pPr>
      <w:spacing w:before="240" w:after="12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4093"/>
    <w:pPr>
      <w:keepNext/>
      <w:keepLines/>
      <w:spacing w:after="240"/>
      <w:jc w:val="center"/>
      <w:outlineLvl w:val="0"/>
    </w:pPr>
    <w:rPr>
      <w:rFonts w:ascii="AcadMtavr" w:hAnsi="AcadMtavr"/>
      <w:b/>
      <w:bCs/>
      <w:color w:val="244061"/>
      <w:sz w:val="36"/>
      <w:szCs w:val="28"/>
    </w:rPr>
  </w:style>
  <w:style w:type="paragraph" w:styleId="2">
    <w:name w:val="heading 2"/>
    <w:basedOn w:val="a"/>
    <w:next w:val="a"/>
    <w:link w:val="20"/>
    <w:semiHidden/>
    <w:unhideWhenUsed/>
    <w:qFormat/>
    <w:rsid w:val="00E1409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093"/>
    <w:rPr>
      <w:rFonts w:ascii="AcadMtavr" w:eastAsia="Times New Roman" w:hAnsi="AcadMtavr" w:cs="Times New Roman"/>
      <w:b/>
      <w:bCs/>
      <w:color w:val="244061"/>
      <w:sz w:val="36"/>
      <w:szCs w:val="28"/>
      <w:lang w:eastAsia="ru-RU"/>
    </w:rPr>
  </w:style>
  <w:style w:type="character" w:customStyle="1" w:styleId="20">
    <w:name w:val="Заголовок 2 Знак"/>
    <w:basedOn w:val="a0"/>
    <w:link w:val="2"/>
    <w:semiHidden/>
    <w:rsid w:val="00E14093"/>
    <w:rPr>
      <w:rFonts w:ascii="Cambria" w:eastAsia="Times New Roman" w:hAnsi="Cambria" w:cs="Times New Roman"/>
      <w:b/>
      <w:bCs/>
      <w:color w:val="4F81BD"/>
      <w:sz w:val="26"/>
      <w:szCs w:val="26"/>
      <w:lang w:eastAsia="ru-RU"/>
    </w:rPr>
  </w:style>
  <w:style w:type="character" w:styleId="a3">
    <w:name w:val="annotation reference"/>
    <w:semiHidden/>
    <w:rsid w:val="00E14093"/>
    <w:rPr>
      <w:sz w:val="16"/>
      <w:szCs w:val="16"/>
    </w:rPr>
  </w:style>
  <w:style w:type="paragraph" w:styleId="a4">
    <w:name w:val="annotation text"/>
    <w:basedOn w:val="a"/>
    <w:link w:val="a5"/>
    <w:semiHidden/>
    <w:rsid w:val="00E14093"/>
    <w:rPr>
      <w:sz w:val="20"/>
      <w:szCs w:val="20"/>
    </w:rPr>
  </w:style>
  <w:style w:type="character" w:customStyle="1" w:styleId="a5">
    <w:name w:val="Текст примечания Знак"/>
    <w:basedOn w:val="a0"/>
    <w:link w:val="a4"/>
    <w:semiHidden/>
    <w:rsid w:val="00E14093"/>
    <w:rPr>
      <w:rFonts w:ascii="Times New Roman" w:eastAsia="Times New Roman" w:hAnsi="Times New Roman" w:cs="Times New Roman"/>
      <w:sz w:val="20"/>
      <w:szCs w:val="20"/>
      <w:lang w:eastAsia="ru-RU"/>
    </w:rPr>
  </w:style>
  <w:style w:type="paragraph" w:styleId="a6">
    <w:name w:val="annotation subject"/>
    <w:basedOn w:val="a4"/>
    <w:next w:val="a4"/>
    <w:link w:val="a7"/>
    <w:semiHidden/>
    <w:rsid w:val="00E14093"/>
    <w:rPr>
      <w:b/>
      <w:bCs/>
    </w:rPr>
  </w:style>
  <w:style w:type="character" w:customStyle="1" w:styleId="a7">
    <w:name w:val="Тема примечания Знак"/>
    <w:basedOn w:val="a5"/>
    <w:link w:val="a6"/>
    <w:semiHidden/>
    <w:rsid w:val="00E14093"/>
    <w:rPr>
      <w:rFonts w:ascii="Times New Roman" w:eastAsia="Times New Roman" w:hAnsi="Times New Roman" w:cs="Times New Roman"/>
      <w:b/>
      <w:bCs/>
      <w:sz w:val="20"/>
      <w:szCs w:val="20"/>
      <w:lang w:eastAsia="ru-RU"/>
    </w:rPr>
  </w:style>
  <w:style w:type="paragraph" w:styleId="a8">
    <w:name w:val="Balloon Text"/>
    <w:basedOn w:val="a"/>
    <w:link w:val="a9"/>
    <w:semiHidden/>
    <w:rsid w:val="00E14093"/>
    <w:rPr>
      <w:rFonts w:ascii="Tahoma" w:hAnsi="Tahoma" w:cs="Tahoma"/>
      <w:sz w:val="16"/>
      <w:szCs w:val="16"/>
    </w:rPr>
  </w:style>
  <w:style w:type="character" w:customStyle="1" w:styleId="a9">
    <w:name w:val="Текст выноски Знак"/>
    <w:basedOn w:val="a0"/>
    <w:link w:val="a8"/>
    <w:semiHidden/>
    <w:rsid w:val="00E14093"/>
    <w:rPr>
      <w:rFonts w:ascii="Tahoma" w:eastAsia="Times New Roman" w:hAnsi="Tahoma" w:cs="Tahoma"/>
      <w:sz w:val="16"/>
      <w:szCs w:val="16"/>
      <w:lang w:eastAsia="ru-RU"/>
    </w:rPr>
  </w:style>
  <w:style w:type="paragraph" w:styleId="aa">
    <w:name w:val="footer"/>
    <w:basedOn w:val="a"/>
    <w:link w:val="ab"/>
    <w:rsid w:val="00E14093"/>
    <w:pPr>
      <w:tabs>
        <w:tab w:val="center" w:pos="4677"/>
        <w:tab w:val="right" w:pos="9355"/>
      </w:tabs>
    </w:pPr>
  </w:style>
  <w:style w:type="character" w:customStyle="1" w:styleId="ab">
    <w:name w:val="Нижний колонтитул Знак"/>
    <w:basedOn w:val="a0"/>
    <w:link w:val="aa"/>
    <w:rsid w:val="00E14093"/>
    <w:rPr>
      <w:rFonts w:ascii="Times New Roman" w:eastAsia="Times New Roman" w:hAnsi="Times New Roman" w:cs="Times New Roman"/>
      <w:sz w:val="24"/>
      <w:szCs w:val="24"/>
      <w:lang w:eastAsia="ru-RU"/>
    </w:rPr>
  </w:style>
  <w:style w:type="character" w:styleId="ac">
    <w:name w:val="page number"/>
    <w:basedOn w:val="a0"/>
    <w:rsid w:val="00E14093"/>
  </w:style>
  <w:style w:type="character" w:styleId="ad">
    <w:name w:val="Emphasis"/>
    <w:uiPriority w:val="20"/>
    <w:qFormat/>
    <w:rsid w:val="00E14093"/>
    <w:rPr>
      <w:i/>
      <w:iCs/>
    </w:rPr>
  </w:style>
  <w:style w:type="paragraph" w:styleId="ae">
    <w:name w:val="header"/>
    <w:basedOn w:val="a"/>
    <w:link w:val="af"/>
    <w:rsid w:val="00E14093"/>
    <w:pPr>
      <w:tabs>
        <w:tab w:val="center" w:pos="4844"/>
        <w:tab w:val="right" w:pos="9689"/>
      </w:tabs>
    </w:pPr>
  </w:style>
  <w:style w:type="character" w:customStyle="1" w:styleId="af">
    <w:name w:val="Верхний колонтитул Знак"/>
    <w:basedOn w:val="a0"/>
    <w:link w:val="ae"/>
    <w:rsid w:val="00E14093"/>
    <w:rPr>
      <w:rFonts w:ascii="Times New Roman" w:eastAsia="Times New Roman" w:hAnsi="Times New Roman" w:cs="Times New Roman"/>
      <w:sz w:val="24"/>
      <w:szCs w:val="24"/>
      <w:lang w:eastAsia="ru-RU"/>
    </w:rPr>
  </w:style>
  <w:style w:type="paragraph" w:styleId="af0">
    <w:name w:val="Subtitle"/>
    <w:basedOn w:val="2"/>
    <w:next w:val="a"/>
    <w:link w:val="af1"/>
    <w:qFormat/>
    <w:rsid w:val="00E14093"/>
    <w:pPr>
      <w:numPr>
        <w:ilvl w:val="1"/>
      </w:numPr>
      <w:spacing w:before="240"/>
    </w:pPr>
    <w:rPr>
      <w:iCs/>
      <w:color w:val="365F91"/>
      <w:spacing w:val="15"/>
      <w:sz w:val="28"/>
    </w:rPr>
  </w:style>
  <w:style w:type="character" w:customStyle="1" w:styleId="af1">
    <w:name w:val="Подзаголовок Знак"/>
    <w:basedOn w:val="a0"/>
    <w:link w:val="af0"/>
    <w:rsid w:val="00E14093"/>
    <w:rPr>
      <w:rFonts w:ascii="Cambria" w:eastAsia="Times New Roman" w:hAnsi="Cambria" w:cs="Times New Roman"/>
      <w:b/>
      <w:bCs/>
      <w:iCs/>
      <w:color w:val="365F91"/>
      <w:spacing w:val="15"/>
      <w:sz w:val="28"/>
      <w:szCs w:val="26"/>
      <w:lang w:eastAsia="ru-RU"/>
    </w:rPr>
  </w:style>
  <w:style w:type="character" w:styleId="af2">
    <w:name w:val="Strong"/>
    <w:qFormat/>
    <w:rsid w:val="00E14093"/>
    <w:rPr>
      <w:rFonts w:ascii="Times New Roman" w:hAnsi="Times New Roman"/>
      <w:b/>
      <w:bCs/>
      <w:i/>
    </w:rPr>
  </w:style>
  <w:style w:type="paragraph" w:styleId="af3">
    <w:name w:val="TOC Heading"/>
    <w:basedOn w:val="1"/>
    <w:next w:val="a"/>
    <w:uiPriority w:val="39"/>
    <w:unhideWhenUsed/>
    <w:qFormat/>
    <w:rsid w:val="00E14093"/>
    <w:pPr>
      <w:spacing w:before="480" w:after="0" w:line="276" w:lineRule="auto"/>
      <w:jc w:val="left"/>
      <w:outlineLvl w:val="9"/>
    </w:pPr>
    <w:rPr>
      <w:rFonts w:ascii="Cambria" w:hAnsi="Cambria"/>
      <w:color w:val="365F91"/>
      <w:sz w:val="28"/>
      <w:lang w:val="en-US" w:eastAsia="en-US"/>
    </w:rPr>
  </w:style>
  <w:style w:type="paragraph" w:styleId="11">
    <w:name w:val="toc 1"/>
    <w:basedOn w:val="a"/>
    <w:next w:val="a"/>
    <w:autoRedefine/>
    <w:uiPriority w:val="39"/>
    <w:qFormat/>
    <w:rsid w:val="00E14093"/>
    <w:pPr>
      <w:spacing w:after="100"/>
    </w:pPr>
  </w:style>
  <w:style w:type="paragraph" w:styleId="21">
    <w:name w:val="toc 2"/>
    <w:basedOn w:val="a"/>
    <w:next w:val="a"/>
    <w:autoRedefine/>
    <w:uiPriority w:val="39"/>
    <w:qFormat/>
    <w:rsid w:val="00E14093"/>
    <w:pPr>
      <w:spacing w:after="100"/>
      <w:ind w:left="240"/>
    </w:pPr>
  </w:style>
  <w:style w:type="character" w:styleId="af4">
    <w:name w:val="Hyperlink"/>
    <w:uiPriority w:val="99"/>
    <w:unhideWhenUsed/>
    <w:rsid w:val="00E14093"/>
    <w:rPr>
      <w:color w:val="0000FF"/>
      <w:u w:val="single"/>
    </w:rPr>
  </w:style>
  <w:style w:type="paragraph" w:styleId="3">
    <w:name w:val="toc 3"/>
    <w:basedOn w:val="a"/>
    <w:next w:val="a"/>
    <w:autoRedefine/>
    <w:uiPriority w:val="39"/>
    <w:unhideWhenUsed/>
    <w:qFormat/>
    <w:rsid w:val="00E14093"/>
    <w:pPr>
      <w:spacing w:after="100" w:line="276" w:lineRule="auto"/>
      <w:ind w:left="440"/>
    </w:pPr>
    <w:rPr>
      <w:rFonts w:ascii="Calibri" w:hAnsi="Calibri"/>
      <w:sz w:val="22"/>
      <w:szCs w:val="22"/>
      <w:lang w:val="en-US" w:eastAsia="en-US"/>
    </w:rPr>
  </w:style>
  <w:style w:type="paragraph" w:styleId="af5">
    <w:name w:val="List Paragraph"/>
    <w:basedOn w:val="a"/>
    <w:uiPriority w:val="34"/>
    <w:qFormat/>
    <w:rsid w:val="00E1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2128</Words>
  <Characters>12130</Characters>
  <Application>Microsoft Office Word</Application>
  <DocSecurity>0</DocSecurity>
  <Lines>101</Lines>
  <Paragraphs>28</Paragraphs>
  <ScaleCrop>false</ScaleCrop>
  <Company>SPecialiST RePack</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Lionbridge</dc:creator>
  <cp:keywords/>
  <dc:description/>
  <cp:lastModifiedBy>Lionbridge</cp:lastModifiedBy>
  <cp:revision>1</cp:revision>
  <dcterms:created xsi:type="dcterms:W3CDTF">2020-12-04T12:03:00Z</dcterms:created>
  <dcterms:modified xsi:type="dcterms:W3CDTF">2020-12-04T12:07:00Z</dcterms:modified>
</cp:coreProperties>
</file>