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669"/>
        <w:gridCol w:w="2700"/>
      </w:tblGrid>
      <w:tr w:rsidR="00477A47" w:rsidTr="007F4B8F">
        <w:tc>
          <w:tcPr>
            <w:tcW w:w="2552" w:type="dxa"/>
          </w:tcPr>
          <w:p w:rsidR="00477A47" w:rsidRDefault="009835E4" w:rsidP="007F4B8F">
            <w:bookmarkStart w:id="0" w:name="Logo"/>
            <w:r>
              <w:rPr>
                <w:noProof/>
              </w:rPr>
              <w:drawing>
                <wp:inline distT="0" distB="0" distL="0" distR="0" wp14:anchorId="56A57BF7" wp14:editId="2591A1ED">
                  <wp:extent cx="1148400" cy="600332"/>
                  <wp:effectExtent l="0" t="0" r="0" b="9525"/>
                  <wp:docPr id="1" name="Billede 1" descr="Q:\PPT\SAMLING\JV\Logo2013\LogoSortD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PT\SAMLING\JV\Logo2013\LogoSortD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400" cy="600332"/>
                          </a:xfrm>
                          <a:prstGeom prst="rect">
                            <a:avLst/>
                          </a:prstGeom>
                          <a:noFill/>
                          <a:ln>
                            <a:noFill/>
                          </a:ln>
                        </pic:spPr>
                      </pic:pic>
                    </a:graphicData>
                  </a:graphic>
                </wp:inline>
              </w:drawing>
            </w:r>
            <w:bookmarkEnd w:id="0"/>
          </w:p>
        </w:tc>
        <w:tc>
          <w:tcPr>
            <w:tcW w:w="4669" w:type="dxa"/>
          </w:tcPr>
          <w:p w:rsidR="00477A47" w:rsidRPr="00A942AC" w:rsidRDefault="00477A47" w:rsidP="007F4B8F">
            <w:pPr>
              <w:rPr>
                <w:szCs w:val="21"/>
              </w:rPr>
            </w:pPr>
          </w:p>
        </w:tc>
        <w:tc>
          <w:tcPr>
            <w:tcW w:w="2700" w:type="dxa"/>
          </w:tcPr>
          <w:p w:rsidR="00477A47" w:rsidRPr="00A942AC" w:rsidRDefault="00477A47" w:rsidP="007F4B8F">
            <w:pPr>
              <w:rPr>
                <w:szCs w:val="21"/>
              </w:rPr>
            </w:pPr>
            <w:bookmarkStart w:id="1" w:name="Journalnr"/>
            <w:bookmarkEnd w:id="1"/>
          </w:p>
          <w:bookmarkStart w:id="2" w:name="Dato"/>
          <w:bookmarkEnd w:id="2"/>
          <w:p w:rsidR="00477A47" w:rsidRPr="00A942AC" w:rsidRDefault="00BE01EB" w:rsidP="007F4B8F">
            <w:pPr>
              <w:rPr>
                <w:szCs w:val="21"/>
              </w:rPr>
            </w:pPr>
            <w:r>
              <w:fldChar w:fldCharType="begin"/>
            </w:r>
            <w:r>
              <w:instrText xml:space="preserve"> TIME  \@ "d. MMMM yyyy" </w:instrText>
            </w:r>
            <w:r>
              <w:fldChar w:fldCharType="separate"/>
            </w:r>
            <w:r w:rsidR="00DB7CF6">
              <w:rPr>
                <w:noProof/>
              </w:rPr>
              <w:t>29. januar 2021</w:t>
            </w:r>
            <w:r>
              <w:fldChar w:fldCharType="end"/>
            </w:r>
          </w:p>
          <w:p w:rsidR="00477A47" w:rsidRPr="00A942AC" w:rsidRDefault="00806FB3" w:rsidP="007F4B8F">
            <w:pPr>
              <w:rPr>
                <w:szCs w:val="21"/>
              </w:rPr>
            </w:pPr>
            <w:bookmarkStart w:id="3" w:name="Brugerinitial"/>
            <w:bookmarkEnd w:id="3"/>
            <w:r>
              <w:rPr>
                <w:szCs w:val="21"/>
              </w:rPr>
              <w:t>SFB</w:t>
            </w:r>
          </w:p>
          <w:p w:rsidR="00477A47" w:rsidRPr="00A942AC" w:rsidRDefault="00806FB3" w:rsidP="007F4B8F">
            <w:pPr>
              <w:rPr>
                <w:szCs w:val="21"/>
              </w:rPr>
            </w:pPr>
            <w:bookmarkStart w:id="4" w:name="kontor"/>
            <w:bookmarkEnd w:id="4"/>
            <w:r>
              <w:rPr>
                <w:szCs w:val="21"/>
              </w:rPr>
              <w:t>Udenrigsøkonomi</w:t>
            </w:r>
          </w:p>
        </w:tc>
      </w:tr>
    </w:tbl>
    <w:p w:rsidR="00477A47" w:rsidRPr="00D803F3" w:rsidRDefault="00477A47" w:rsidP="00477A47">
      <w:pPr>
        <w:sectPr w:rsidR="00477A47" w:rsidRPr="00D803F3" w:rsidSect="0056349C">
          <w:footerReference w:type="default" r:id="rId10"/>
          <w:footerReference w:type="first" r:id="rId11"/>
          <w:type w:val="continuous"/>
          <w:pgSz w:w="11906" w:h="16838" w:code="9"/>
          <w:pgMar w:top="459" w:right="794" w:bottom="1247" w:left="1191" w:header="454" w:footer="454" w:gutter="0"/>
          <w:cols w:space="708"/>
          <w:docGrid w:linePitch="360"/>
        </w:sectPr>
      </w:pPr>
      <w:bookmarkStart w:id="5" w:name="Sektion"/>
      <w:bookmarkEnd w:id="5"/>
    </w:p>
    <w:bookmarkStart w:id="6" w:name="Artikel" w:displacedByCustomXml="next"/>
    <w:bookmarkEnd w:id="6" w:displacedByCustomXml="next"/>
    <w:bookmarkStart w:id="7" w:name="Titel" w:displacedByCustomXml="next"/>
    <w:sdt>
      <w:sdtPr>
        <w:alias w:val="Titel"/>
        <w:tag w:val=""/>
        <w:id w:val="-1116371093"/>
        <w:placeholder>
          <w:docPart w:val="C43FA65648CE4BBEB53B251A87174212"/>
        </w:placeholder>
        <w:dataBinding w:prefixMappings="xmlns:ns0='http://purl.org/dc/elements/1.1/' xmlns:ns1='http://schemas.openxmlformats.org/package/2006/metadata/core-properties' " w:xpath="/ns1:coreProperties[1]/ns0:title[1]" w:storeItemID="{6C3C8BC8-F283-45AE-878A-BAB7291924A1}"/>
        <w:text/>
      </w:sdtPr>
      <w:sdtEndPr/>
      <w:sdtContent>
        <w:p w:rsidR="00477A47" w:rsidRDefault="00806FB3" w:rsidP="00477A47">
          <w:pPr>
            <w:pStyle w:val="Titel"/>
            <w:rPr>
              <w:rFonts w:ascii="Georgia" w:hAnsi="Georgia" w:cs="Times New Roman"/>
              <w:b w:val="0"/>
              <w:bCs w:val="0"/>
              <w:kern w:val="0"/>
              <w:sz w:val="20"/>
              <w:szCs w:val="24"/>
            </w:rPr>
          </w:pPr>
          <w:r>
            <w:t>Freight transport</w:t>
          </w:r>
          <w:r w:rsidR="00B71DD2">
            <w:t xml:space="preserve"> and insurance</w:t>
          </w:r>
        </w:p>
      </w:sdtContent>
    </w:sdt>
    <w:bookmarkEnd w:id="7"/>
    <w:p w:rsidR="00477A47" w:rsidRDefault="00477A47" w:rsidP="00477A47"/>
    <w:p w:rsidR="00BC5A19" w:rsidRDefault="003268E9" w:rsidP="001E11B9">
      <w:pPr>
        <w:spacing w:line="276" w:lineRule="auto"/>
        <w:jc w:val="left"/>
        <w:rPr>
          <w:lang w:val="en-US"/>
        </w:rPr>
      </w:pPr>
      <w:bookmarkStart w:id="8" w:name="brødtekststart"/>
      <w:bookmarkEnd w:id="8"/>
      <w:r w:rsidRPr="003268E9">
        <w:rPr>
          <w:lang w:val="en-US"/>
        </w:rPr>
        <w:t>This document has bee</w:t>
      </w:r>
      <w:r>
        <w:rPr>
          <w:lang w:val="en-US"/>
        </w:rPr>
        <w:t>n written within component 1.2 of the twinning project between Geostat and Statistics Denmark. It describes the potential difficulties, w</w:t>
      </w:r>
      <w:r w:rsidR="009C0FE0">
        <w:rPr>
          <w:lang w:val="en-US"/>
        </w:rPr>
        <w:t xml:space="preserve">hich </w:t>
      </w:r>
      <w:r w:rsidR="009D5054">
        <w:rPr>
          <w:lang w:val="en-US"/>
        </w:rPr>
        <w:t>compilers of International Trade in Services Statistics (ITSS) and Balance of Payments (BoP)</w:t>
      </w:r>
      <w:r w:rsidR="009C0FE0">
        <w:rPr>
          <w:lang w:val="en-US"/>
        </w:rPr>
        <w:t xml:space="preserve"> should be aware of</w:t>
      </w:r>
      <w:r>
        <w:rPr>
          <w:lang w:val="en-US"/>
        </w:rPr>
        <w:t xml:space="preserve"> when combining survey data on freight transport</w:t>
      </w:r>
      <w:r w:rsidR="009D5054">
        <w:rPr>
          <w:lang w:val="en-US"/>
        </w:rPr>
        <w:t xml:space="preserve"> and insurance</w:t>
      </w:r>
      <w:r>
        <w:rPr>
          <w:lang w:val="en-US"/>
        </w:rPr>
        <w:t xml:space="preserve"> with traditional cif-fob corrections. </w:t>
      </w:r>
    </w:p>
    <w:p w:rsidR="003268E9" w:rsidRDefault="003268E9" w:rsidP="001E11B9">
      <w:pPr>
        <w:spacing w:line="276" w:lineRule="auto"/>
        <w:jc w:val="left"/>
        <w:rPr>
          <w:lang w:val="en-US"/>
        </w:rPr>
      </w:pPr>
    </w:p>
    <w:p w:rsidR="003268E9" w:rsidRDefault="003268E9" w:rsidP="003268E9">
      <w:pPr>
        <w:pStyle w:val="Overskrift3"/>
        <w:rPr>
          <w:lang w:val="en-US"/>
        </w:rPr>
      </w:pPr>
      <w:r>
        <w:rPr>
          <w:lang w:val="en-US"/>
        </w:rPr>
        <w:t>Basic concepts</w:t>
      </w:r>
    </w:p>
    <w:p w:rsidR="003268E9" w:rsidRDefault="009D5054" w:rsidP="003268E9">
      <w:pPr>
        <w:rPr>
          <w:lang w:val="en-US"/>
        </w:rPr>
      </w:pPr>
      <w:r>
        <w:rPr>
          <w:lang w:val="en-US"/>
        </w:rPr>
        <w:t>Import and export of goods are recorded i</w:t>
      </w:r>
      <w:r w:rsidR="003F6296">
        <w:rPr>
          <w:lang w:val="en-US"/>
        </w:rPr>
        <w:t>n International Merchandise Trade S</w:t>
      </w:r>
      <w:r w:rsidR="003268E9">
        <w:rPr>
          <w:lang w:val="en-US"/>
        </w:rPr>
        <w:t>tatistics</w:t>
      </w:r>
      <w:r w:rsidR="003F6296">
        <w:rPr>
          <w:lang w:val="en-US"/>
        </w:rPr>
        <w:t xml:space="preserve"> (IMTS)</w:t>
      </w:r>
      <w:r>
        <w:rPr>
          <w:lang w:val="en-US"/>
        </w:rPr>
        <w:t xml:space="preserve"> as wel</w:t>
      </w:r>
      <w:r w:rsidR="00502A74">
        <w:rPr>
          <w:lang w:val="en-US"/>
        </w:rPr>
        <w:t>l as in the goods account of BoP</w:t>
      </w:r>
      <w:r>
        <w:rPr>
          <w:lang w:val="en-US"/>
        </w:rPr>
        <w:t xml:space="preserve">. </w:t>
      </w:r>
      <w:r w:rsidR="003268E9">
        <w:rPr>
          <w:lang w:val="en-US"/>
        </w:rPr>
        <w:t>CIF and FOB are used to designate the value of these goods at certain points in time. FOB (Free On Board) designates the value of a good at the border of the exporting country, while CIF (Cost, Insurance and Freight) designates the value at the border of the importing country. The difference in the value equals the value of insurance and freight from the border of the exporting country to the border of the importing country.</w:t>
      </w:r>
    </w:p>
    <w:p w:rsidR="003268E9" w:rsidRDefault="003268E9" w:rsidP="003268E9">
      <w:pPr>
        <w:rPr>
          <w:lang w:val="en-US"/>
        </w:rPr>
      </w:pPr>
    </w:p>
    <w:p w:rsidR="008F7072" w:rsidRDefault="008F7072" w:rsidP="008F7072">
      <w:pPr>
        <w:pStyle w:val="Overskrift3"/>
        <w:rPr>
          <w:lang w:val="en-US"/>
        </w:rPr>
      </w:pPr>
      <w:r>
        <w:rPr>
          <w:lang w:val="en-US"/>
        </w:rPr>
        <w:t>Delivery terms</w:t>
      </w:r>
    </w:p>
    <w:p w:rsidR="008F7072" w:rsidRDefault="008F7072" w:rsidP="003268E9">
      <w:pPr>
        <w:rPr>
          <w:lang w:val="en-US"/>
        </w:rPr>
      </w:pPr>
      <w:r>
        <w:rPr>
          <w:lang w:val="en-US"/>
        </w:rPr>
        <w:t>In real life, traders may agree on different delivery terms, which will define the amount which is actually invoiced between the traders. For instance, the traders may agree</w:t>
      </w:r>
      <w:r w:rsidR="009D5054">
        <w:rPr>
          <w:lang w:val="en-US"/>
        </w:rPr>
        <w:t xml:space="preserve"> that</w:t>
      </w:r>
      <w:r>
        <w:rPr>
          <w:lang w:val="en-US"/>
        </w:rPr>
        <w:t xml:space="preserve"> goods are delivered on the border of the exporting country (FOB type delivery terms) and consequently the seller will invoice the </w:t>
      </w:r>
      <w:r w:rsidR="009D5054">
        <w:rPr>
          <w:lang w:val="en-US"/>
        </w:rPr>
        <w:t>buyer</w:t>
      </w:r>
      <w:r>
        <w:rPr>
          <w:lang w:val="en-US"/>
        </w:rPr>
        <w:t xml:space="preserve"> for the goods at FOB value and the </w:t>
      </w:r>
      <w:r w:rsidR="009D5054">
        <w:rPr>
          <w:lang w:val="en-US"/>
        </w:rPr>
        <w:t>buyer</w:t>
      </w:r>
      <w:r>
        <w:rPr>
          <w:lang w:val="en-US"/>
        </w:rPr>
        <w:t xml:space="preserve"> will purchase transport and insurance from the border of the exporting country separately. Alternatively, the traders may agree that goods are delivered at the border of the importing country (CIF type delivery terms) and consequently the seller will invoice the CIF value. </w:t>
      </w:r>
      <w:r w:rsidR="009D5054">
        <w:rPr>
          <w:lang w:val="en-US"/>
        </w:rPr>
        <w:t>In that case, f</w:t>
      </w:r>
      <w:r>
        <w:rPr>
          <w:lang w:val="en-US"/>
        </w:rPr>
        <w:t>reight and insurance beyond the border of the exporting country will be purchased by the seller.</w:t>
      </w:r>
    </w:p>
    <w:p w:rsidR="003B5502" w:rsidRDefault="003B5502" w:rsidP="003268E9">
      <w:pPr>
        <w:rPr>
          <w:lang w:val="en-US"/>
        </w:rPr>
      </w:pPr>
    </w:p>
    <w:p w:rsidR="003268E9" w:rsidRDefault="00F21531" w:rsidP="003F6296">
      <w:pPr>
        <w:pStyle w:val="Overskrift3"/>
        <w:rPr>
          <w:lang w:val="en-US"/>
        </w:rPr>
      </w:pPr>
      <w:r>
        <w:rPr>
          <w:lang w:val="en-US"/>
        </w:rPr>
        <w:t>Valuation</w:t>
      </w:r>
      <w:r w:rsidR="00030040">
        <w:rPr>
          <w:lang w:val="en-US"/>
        </w:rPr>
        <w:t xml:space="preserve"> of goods</w:t>
      </w:r>
      <w:r>
        <w:rPr>
          <w:lang w:val="en-US"/>
        </w:rPr>
        <w:t xml:space="preserve"> in IMTS and BoP</w:t>
      </w:r>
    </w:p>
    <w:p w:rsidR="003F6296" w:rsidRDefault="008F7072" w:rsidP="003F6296">
      <w:pPr>
        <w:rPr>
          <w:lang w:val="en-US"/>
        </w:rPr>
      </w:pPr>
      <w:r>
        <w:rPr>
          <w:lang w:val="en-US"/>
        </w:rPr>
        <w:t xml:space="preserve">In IMTS and BoP, goods are valued uniformly, i.e. independently of the actual delivery terms and the invoiced amount. </w:t>
      </w:r>
      <w:r w:rsidR="003F6296">
        <w:rPr>
          <w:lang w:val="en-US"/>
        </w:rPr>
        <w:t>In IMTS, imports are valued at CIF and exports are valued at FOB. In contrast, BoP records the FOB value for both imports and exports.</w:t>
      </w:r>
    </w:p>
    <w:p w:rsidR="003F6296" w:rsidRDefault="003F6296" w:rsidP="003F6296">
      <w:pPr>
        <w:rPr>
          <w:lang w:val="en-US"/>
        </w:rPr>
      </w:pPr>
    </w:p>
    <w:p w:rsidR="003F6296" w:rsidRDefault="003F6296" w:rsidP="003F6296">
      <w:pPr>
        <w:rPr>
          <w:lang w:val="en-US"/>
        </w:rPr>
      </w:pPr>
      <w:r>
        <w:rPr>
          <w:lang w:val="en-US"/>
        </w:rPr>
        <w:t>Consider as an example the following movements of goods:</w:t>
      </w:r>
    </w:p>
    <w:p w:rsidR="003F6296" w:rsidRDefault="003F6296" w:rsidP="003F6296">
      <w:pPr>
        <w:rPr>
          <w:lang w:val="en-US"/>
        </w:rPr>
      </w:pPr>
    </w:p>
    <w:p w:rsidR="009D5054" w:rsidRPr="003F6296" w:rsidRDefault="009D5054" w:rsidP="009D5054">
      <w:pPr>
        <w:rPr>
          <w:i/>
          <w:lang w:val="en-US"/>
        </w:rPr>
      </w:pPr>
      <w:r w:rsidRPr="003F6296">
        <w:rPr>
          <w:i/>
          <w:lang w:val="en-US"/>
        </w:rPr>
        <w:t>Import to country A from country B</w:t>
      </w:r>
      <w:r>
        <w:rPr>
          <w:i/>
          <w:lang w:val="en-US"/>
        </w:rPr>
        <w:t>, CIF type delivery terms</w:t>
      </w:r>
      <w:r w:rsidRPr="003F6296">
        <w:rPr>
          <w:i/>
          <w:lang w:val="en-US"/>
        </w:rPr>
        <w:t>:</w:t>
      </w:r>
    </w:p>
    <w:p w:rsidR="009D5054" w:rsidRPr="003F6296" w:rsidRDefault="009D5054" w:rsidP="009D5054">
      <w:pPr>
        <w:rPr>
          <w:lang w:val="en-US"/>
        </w:rPr>
      </w:pPr>
    </w:p>
    <w:p w:rsidR="009D5054" w:rsidRDefault="009D5054" w:rsidP="009D5054">
      <w:pPr>
        <w:rPr>
          <w:lang w:val="en-US"/>
        </w:rPr>
      </w:pPr>
      <w:r w:rsidRPr="003F6296">
        <w:rPr>
          <w:u w:val="single"/>
          <w:lang w:val="en-US"/>
        </w:rPr>
        <w:t>Country A</w:t>
      </w:r>
      <w:r>
        <w:rPr>
          <w:lang w:val="en-US"/>
        </w:rPr>
        <w:tab/>
      </w:r>
      <w:r>
        <w:rPr>
          <w:lang w:val="en-US"/>
        </w:rPr>
        <w:tab/>
      </w:r>
      <w:r>
        <w:rPr>
          <w:lang w:val="en-US"/>
        </w:rPr>
        <w:tab/>
      </w:r>
      <w:r w:rsidRPr="003F6296">
        <w:rPr>
          <w:u w:val="single"/>
          <w:lang w:val="en-US"/>
        </w:rPr>
        <w:t>Country B</w:t>
      </w:r>
    </w:p>
    <w:p w:rsidR="009D5054" w:rsidRDefault="009D5054" w:rsidP="009D5054">
      <w:pPr>
        <w:rPr>
          <w:lang w:val="en-US"/>
        </w:rPr>
      </w:pPr>
      <w:r>
        <w:rPr>
          <w:lang w:val="en-US"/>
        </w:rPr>
        <w:t>CIF: 55</w:t>
      </w:r>
      <w:r>
        <w:rPr>
          <w:lang w:val="en-US"/>
        </w:rPr>
        <w:tab/>
      </w:r>
      <w:r>
        <w:rPr>
          <w:lang w:val="en-US"/>
        </w:rPr>
        <w:tab/>
      </w:r>
      <w:r>
        <w:rPr>
          <w:lang w:val="en-US"/>
        </w:rPr>
        <w:sym w:font="Symbol" w:char="F0AC"/>
      </w:r>
      <w:r>
        <w:rPr>
          <w:lang w:val="en-US"/>
        </w:rPr>
        <w:tab/>
        <w:t>FOB: 50</w:t>
      </w:r>
    </w:p>
    <w:p w:rsidR="009D5054" w:rsidRDefault="009D5054" w:rsidP="009D5054">
      <w:pPr>
        <w:rPr>
          <w:lang w:val="en-US"/>
        </w:rPr>
      </w:pPr>
    </w:p>
    <w:p w:rsidR="003F6296" w:rsidRPr="003F6296" w:rsidRDefault="003F6296" w:rsidP="003F6296">
      <w:pPr>
        <w:rPr>
          <w:i/>
          <w:lang w:val="en-US"/>
        </w:rPr>
      </w:pPr>
      <w:r w:rsidRPr="003F6296">
        <w:rPr>
          <w:i/>
          <w:lang w:val="en-US"/>
        </w:rPr>
        <w:t>Export from country A to country B</w:t>
      </w:r>
      <w:r w:rsidR="004632B2">
        <w:rPr>
          <w:i/>
          <w:lang w:val="en-US"/>
        </w:rPr>
        <w:t>, CIF type delivery terms</w:t>
      </w:r>
      <w:r w:rsidRPr="003F6296">
        <w:rPr>
          <w:i/>
          <w:lang w:val="en-US"/>
        </w:rPr>
        <w:t>:</w:t>
      </w:r>
    </w:p>
    <w:p w:rsidR="003F6296" w:rsidRDefault="003F6296" w:rsidP="003F6296">
      <w:pPr>
        <w:rPr>
          <w:lang w:val="en-US"/>
        </w:rPr>
      </w:pPr>
    </w:p>
    <w:p w:rsidR="003F6296" w:rsidRDefault="003F6296" w:rsidP="003F6296">
      <w:pPr>
        <w:rPr>
          <w:lang w:val="en-US"/>
        </w:rPr>
      </w:pPr>
      <w:r w:rsidRPr="003F6296">
        <w:rPr>
          <w:u w:val="single"/>
          <w:lang w:val="en-US"/>
        </w:rPr>
        <w:t>Country A</w:t>
      </w:r>
      <w:r>
        <w:rPr>
          <w:lang w:val="en-US"/>
        </w:rPr>
        <w:tab/>
      </w:r>
      <w:r>
        <w:rPr>
          <w:lang w:val="en-US"/>
        </w:rPr>
        <w:tab/>
      </w:r>
      <w:r>
        <w:rPr>
          <w:lang w:val="en-US"/>
        </w:rPr>
        <w:tab/>
      </w:r>
      <w:r w:rsidRPr="003F6296">
        <w:rPr>
          <w:u w:val="single"/>
          <w:lang w:val="en-US"/>
        </w:rPr>
        <w:t>Country B</w:t>
      </w:r>
    </w:p>
    <w:p w:rsidR="003F6296" w:rsidRDefault="003F6296" w:rsidP="003F6296">
      <w:pPr>
        <w:rPr>
          <w:lang w:val="en-US"/>
        </w:rPr>
      </w:pPr>
      <w:r>
        <w:rPr>
          <w:lang w:val="en-US"/>
        </w:rPr>
        <w:t>FOB: 100</w:t>
      </w:r>
      <w:r>
        <w:rPr>
          <w:lang w:val="en-US"/>
        </w:rPr>
        <w:tab/>
      </w:r>
      <w:r>
        <w:rPr>
          <w:lang w:val="en-US"/>
        </w:rPr>
        <w:tab/>
      </w:r>
      <w:r>
        <w:rPr>
          <w:lang w:val="en-US"/>
        </w:rPr>
        <w:sym w:font="Symbol" w:char="F0AE"/>
      </w:r>
      <w:r>
        <w:rPr>
          <w:lang w:val="en-US"/>
        </w:rPr>
        <w:tab/>
        <w:t>CIF: 120</w:t>
      </w:r>
    </w:p>
    <w:p w:rsidR="004632B2" w:rsidRDefault="004632B2" w:rsidP="001E11B9">
      <w:pPr>
        <w:spacing w:line="276" w:lineRule="auto"/>
        <w:jc w:val="left"/>
        <w:rPr>
          <w:lang w:val="en-US"/>
        </w:rPr>
      </w:pPr>
    </w:p>
    <w:p w:rsidR="009D5054" w:rsidRDefault="009D5054" w:rsidP="001E11B9">
      <w:pPr>
        <w:spacing w:line="276" w:lineRule="auto"/>
        <w:jc w:val="left"/>
        <w:rPr>
          <w:lang w:val="en-US"/>
        </w:rPr>
      </w:pPr>
    </w:p>
    <w:p w:rsidR="00F21531" w:rsidRDefault="00F21531" w:rsidP="001E11B9">
      <w:pPr>
        <w:spacing w:line="276" w:lineRule="auto"/>
        <w:jc w:val="left"/>
        <w:rPr>
          <w:lang w:val="en-US"/>
        </w:rPr>
      </w:pPr>
      <w:r>
        <w:rPr>
          <w:lang w:val="en-US"/>
        </w:rPr>
        <w:t>IMTS of country A will show:</w:t>
      </w:r>
    </w:p>
    <w:p w:rsidR="00F21531" w:rsidRDefault="00F21531" w:rsidP="001E11B9">
      <w:pPr>
        <w:spacing w:line="276" w:lineRule="auto"/>
        <w:jc w:val="left"/>
        <w:rPr>
          <w:lang w:val="en-US"/>
        </w:rPr>
      </w:pPr>
      <w:r>
        <w:rPr>
          <w:lang w:val="en-US"/>
        </w:rPr>
        <w:t>Import: 55</w:t>
      </w:r>
      <w:r w:rsidR="009C0FE0">
        <w:rPr>
          <w:lang w:val="en-US"/>
        </w:rPr>
        <w:t xml:space="preserve"> (invoiced amount: 55)</w:t>
      </w:r>
    </w:p>
    <w:p w:rsidR="00F21531" w:rsidRDefault="00F21531" w:rsidP="001E11B9">
      <w:pPr>
        <w:spacing w:line="276" w:lineRule="auto"/>
        <w:jc w:val="left"/>
        <w:rPr>
          <w:lang w:val="en-US"/>
        </w:rPr>
      </w:pPr>
      <w:r>
        <w:rPr>
          <w:lang w:val="en-US"/>
        </w:rPr>
        <w:t>Export: 100</w:t>
      </w:r>
      <w:r w:rsidR="009C0FE0">
        <w:rPr>
          <w:lang w:val="en-US"/>
        </w:rPr>
        <w:t xml:space="preserve"> (invoiced amount: 120)</w:t>
      </w:r>
    </w:p>
    <w:p w:rsidR="00F21531" w:rsidRDefault="00F21531" w:rsidP="001E11B9">
      <w:pPr>
        <w:spacing w:line="276" w:lineRule="auto"/>
        <w:jc w:val="left"/>
        <w:rPr>
          <w:lang w:val="en-US"/>
        </w:rPr>
      </w:pPr>
    </w:p>
    <w:p w:rsidR="00F21531" w:rsidRDefault="00F21531" w:rsidP="001E11B9">
      <w:pPr>
        <w:spacing w:line="276" w:lineRule="auto"/>
        <w:jc w:val="left"/>
        <w:rPr>
          <w:lang w:val="en-US"/>
        </w:rPr>
      </w:pPr>
      <w:r>
        <w:rPr>
          <w:lang w:val="en-US"/>
        </w:rPr>
        <w:t>BoP of country A will show:</w:t>
      </w:r>
    </w:p>
    <w:p w:rsidR="00F21531" w:rsidRDefault="00F21531" w:rsidP="001E11B9">
      <w:pPr>
        <w:spacing w:line="276" w:lineRule="auto"/>
        <w:jc w:val="left"/>
        <w:rPr>
          <w:lang w:val="en-US"/>
        </w:rPr>
      </w:pPr>
      <w:r>
        <w:rPr>
          <w:lang w:val="en-US"/>
        </w:rPr>
        <w:t>Import: 50</w:t>
      </w:r>
      <w:r w:rsidR="009C0FE0">
        <w:rPr>
          <w:lang w:val="en-US"/>
        </w:rPr>
        <w:t xml:space="preserve"> (invoiced amount: 55)</w:t>
      </w:r>
    </w:p>
    <w:p w:rsidR="00F21531" w:rsidRDefault="00F21531" w:rsidP="001E11B9">
      <w:pPr>
        <w:spacing w:line="276" w:lineRule="auto"/>
        <w:jc w:val="left"/>
        <w:rPr>
          <w:lang w:val="en-US"/>
        </w:rPr>
      </w:pPr>
      <w:r>
        <w:rPr>
          <w:lang w:val="en-US"/>
        </w:rPr>
        <w:t>Export: 100</w:t>
      </w:r>
      <w:r w:rsidR="009C0FE0">
        <w:rPr>
          <w:lang w:val="en-US"/>
        </w:rPr>
        <w:t xml:space="preserve"> (invoiced amount: 120)</w:t>
      </w:r>
    </w:p>
    <w:p w:rsidR="00F21531" w:rsidRDefault="00F21531" w:rsidP="001E11B9">
      <w:pPr>
        <w:spacing w:line="276" w:lineRule="auto"/>
        <w:jc w:val="left"/>
        <w:rPr>
          <w:lang w:val="en-US"/>
        </w:rPr>
      </w:pPr>
    </w:p>
    <w:p w:rsidR="00030040" w:rsidRDefault="00030040" w:rsidP="00030040">
      <w:pPr>
        <w:pStyle w:val="Overskrift3"/>
        <w:rPr>
          <w:lang w:val="en-US"/>
        </w:rPr>
      </w:pPr>
      <w:r>
        <w:rPr>
          <w:lang w:val="en-US"/>
        </w:rPr>
        <w:t xml:space="preserve">Recording </w:t>
      </w:r>
      <w:r w:rsidR="006F5DF0">
        <w:rPr>
          <w:lang w:val="en-US"/>
        </w:rPr>
        <w:t>of freight</w:t>
      </w:r>
      <w:r w:rsidR="009D5054">
        <w:rPr>
          <w:lang w:val="en-US"/>
        </w:rPr>
        <w:t xml:space="preserve"> and insurance</w:t>
      </w:r>
      <w:r w:rsidR="006F5DF0">
        <w:rPr>
          <w:lang w:val="en-US"/>
        </w:rPr>
        <w:t xml:space="preserve"> </w:t>
      </w:r>
      <w:r>
        <w:rPr>
          <w:lang w:val="en-US"/>
        </w:rPr>
        <w:t>in BoP</w:t>
      </w:r>
      <w:r w:rsidR="006D07BF">
        <w:rPr>
          <w:lang w:val="en-US"/>
        </w:rPr>
        <w:t xml:space="preserve"> and ITSS</w:t>
      </w:r>
    </w:p>
    <w:p w:rsidR="006F5DF0" w:rsidRDefault="00481D53" w:rsidP="006F5DF0">
      <w:pPr>
        <w:rPr>
          <w:lang w:val="en-US"/>
        </w:rPr>
      </w:pPr>
      <w:r>
        <w:rPr>
          <w:lang w:val="en-US"/>
        </w:rPr>
        <w:t>Parallel to the valuation of goods at FOB value,</w:t>
      </w:r>
      <w:r w:rsidR="00685FC9">
        <w:rPr>
          <w:lang w:val="en-US"/>
        </w:rPr>
        <w:t xml:space="preserve"> BoP uniformly record</w:t>
      </w:r>
      <w:r>
        <w:rPr>
          <w:lang w:val="en-US"/>
        </w:rPr>
        <w:t>s</w:t>
      </w:r>
      <w:r w:rsidR="006F5DF0">
        <w:rPr>
          <w:lang w:val="en-US"/>
        </w:rPr>
        <w:t xml:space="preserve"> freight</w:t>
      </w:r>
      <w:r w:rsidR="009D5054">
        <w:rPr>
          <w:lang w:val="en-US"/>
        </w:rPr>
        <w:t xml:space="preserve"> and insurance</w:t>
      </w:r>
      <w:r w:rsidR="006F5DF0">
        <w:rPr>
          <w:lang w:val="en-US"/>
        </w:rPr>
        <w:t xml:space="preserve"> costs beyond the border of the exporting country </w:t>
      </w:r>
      <w:r>
        <w:rPr>
          <w:lang w:val="en-US"/>
        </w:rPr>
        <w:t xml:space="preserve">as </w:t>
      </w:r>
      <w:r w:rsidR="006F5DF0">
        <w:rPr>
          <w:lang w:val="en-US"/>
        </w:rPr>
        <w:t>incurred by the importer, irrespectively of</w:t>
      </w:r>
      <w:r>
        <w:rPr>
          <w:lang w:val="en-US"/>
        </w:rPr>
        <w:t xml:space="preserve"> the delivery terms and</w:t>
      </w:r>
      <w:r w:rsidR="006F5DF0">
        <w:rPr>
          <w:lang w:val="en-US"/>
        </w:rPr>
        <w:t xml:space="preserve"> the actual payments. </w:t>
      </w:r>
    </w:p>
    <w:p w:rsidR="00685FC9" w:rsidRDefault="00685FC9" w:rsidP="006F5DF0">
      <w:pPr>
        <w:rPr>
          <w:lang w:val="en-US"/>
        </w:rPr>
      </w:pPr>
    </w:p>
    <w:p w:rsidR="00685FC9" w:rsidRDefault="001B4499" w:rsidP="006F5DF0">
      <w:pPr>
        <w:rPr>
          <w:lang w:val="en-US"/>
        </w:rPr>
      </w:pPr>
      <w:r>
        <w:rPr>
          <w:lang w:val="en-US"/>
        </w:rPr>
        <w:t>In the examples above, delivery terms are CIF type, meaning that the seller will purchase transport and insurance beyond the border of the exporting country and include the amount in the invoice for the goods. However, in BoP, the purchase of freight transport</w:t>
      </w:r>
      <w:r w:rsidR="009D5054">
        <w:rPr>
          <w:lang w:val="en-US"/>
        </w:rPr>
        <w:t xml:space="preserve"> and insurance</w:t>
      </w:r>
      <w:r>
        <w:rPr>
          <w:lang w:val="en-US"/>
        </w:rPr>
        <w:t xml:space="preserve"> will be assigned </w:t>
      </w:r>
      <w:r w:rsidR="00A31CC2">
        <w:rPr>
          <w:lang w:val="en-US"/>
        </w:rPr>
        <w:t xml:space="preserve">to the </w:t>
      </w:r>
      <w:r w:rsidR="009D5054">
        <w:rPr>
          <w:lang w:val="en-US"/>
        </w:rPr>
        <w:t>buyer</w:t>
      </w:r>
      <w:r w:rsidR="00A31CC2">
        <w:rPr>
          <w:lang w:val="en-US"/>
        </w:rPr>
        <w:t xml:space="preserve"> of t</w:t>
      </w:r>
      <w:r w:rsidR="009D5054">
        <w:rPr>
          <w:lang w:val="en-US"/>
        </w:rPr>
        <w:t>he goods and shown as service import</w:t>
      </w:r>
      <w:r w:rsidR="00A31CC2">
        <w:rPr>
          <w:lang w:val="en-US"/>
        </w:rPr>
        <w:t xml:space="preserve"> in case the </w:t>
      </w:r>
      <w:r w:rsidR="009D5054">
        <w:rPr>
          <w:lang w:val="en-US"/>
        </w:rPr>
        <w:t xml:space="preserve">suppliers of </w:t>
      </w:r>
      <w:r w:rsidR="00A31CC2">
        <w:rPr>
          <w:lang w:val="en-US"/>
        </w:rPr>
        <w:t xml:space="preserve">transport </w:t>
      </w:r>
      <w:r w:rsidR="009D5054">
        <w:rPr>
          <w:lang w:val="en-US"/>
        </w:rPr>
        <w:t>and insurance are</w:t>
      </w:r>
      <w:r w:rsidR="00A31CC2">
        <w:rPr>
          <w:lang w:val="en-US"/>
        </w:rPr>
        <w:t xml:space="preserve"> non-resident</w:t>
      </w:r>
      <w:r w:rsidR="009D5054">
        <w:rPr>
          <w:lang w:val="en-US"/>
        </w:rPr>
        <w:t xml:space="preserve"> of the importing economy</w:t>
      </w:r>
      <w:r w:rsidR="00A31CC2">
        <w:rPr>
          <w:lang w:val="en-US"/>
        </w:rPr>
        <w:t>.</w:t>
      </w:r>
      <w:r w:rsidR="009C0FE0">
        <w:rPr>
          <w:lang w:val="en-US"/>
        </w:rPr>
        <w:t xml:space="preserve"> As a result of this treatment, the sum of good</w:t>
      </w:r>
      <w:r w:rsidR="00A31CC2">
        <w:rPr>
          <w:lang w:val="en-US"/>
        </w:rPr>
        <w:t>s trade and service trade</w:t>
      </w:r>
      <w:r w:rsidR="009C0FE0">
        <w:rPr>
          <w:lang w:val="en-US"/>
        </w:rPr>
        <w:t xml:space="preserve"> will equal the actual</w:t>
      </w:r>
      <w:r w:rsidR="006C03B1">
        <w:rPr>
          <w:lang w:val="en-US"/>
        </w:rPr>
        <w:t xml:space="preserve"> net</w:t>
      </w:r>
      <w:r w:rsidR="009C0FE0">
        <w:rPr>
          <w:lang w:val="en-US"/>
        </w:rPr>
        <w:t xml:space="preserve"> payment</w:t>
      </w:r>
      <w:r w:rsidR="006C03B1">
        <w:rPr>
          <w:lang w:val="en-US"/>
        </w:rPr>
        <w:t xml:space="preserve"> between the countries</w:t>
      </w:r>
      <w:r w:rsidR="009C0FE0">
        <w:rPr>
          <w:lang w:val="en-US"/>
        </w:rPr>
        <w:t>. Adding service trade to the example</w:t>
      </w:r>
      <w:r w:rsidR="009D5054">
        <w:rPr>
          <w:lang w:val="en-US"/>
        </w:rPr>
        <w:t>s</w:t>
      </w:r>
      <w:r w:rsidR="009C0FE0">
        <w:rPr>
          <w:lang w:val="en-US"/>
        </w:rPr>
        <w:t xml:space="preserve"> abo</w:t>
      </w:r>
      <w:r w:rsidR="00A31CC2">
        <w:rPr>
          <w:lang w:val="en-US"/>
        </w:rPr>
        <w:t>ve, and assuming that transport</w:t>
      </w:r>
      <w:r w:rsidR="009D5054">
        <w:rPr>
          <w:lang w:val="en-US"/>
        </w:rPr>
        <w:t xml:space="preserve"> and insurance</w:t>
      </w:r>
      <w:r w:rsidR="00A31CC2">
        <w:rPr>
          <w:lang w:val="en-US"/>
        </w:rPr>
        <w:t xml:space="preserve"> provider</w:t>
      </w:r>
      <w:r w:rsidR="00BE01EB">
        <w:rPr>
          <w:lang w:val="en-US"/>
        </w:rPr>
        <w:t>s are</w:t>
      </w:r>
      <w:r w:rsidR="00A31CC2">
        <w:rPr>
          <w:lang w:val="en-US"/>
        </w:rPr>
        <w:t xml:space="preserve"> resident</w:t>
      </w:r>
      <w:r w:rsidR="00BE01EB">
        <w:rPr>
          <w:lang w:val="en-US"/>
        </w:rPr>
        <w:t>s</w:t>
      </w:r>
      <w:r w:rsidR="00A31CC2">
        <w:rPr>
          <w:lang w:val="en-US"/>
        </w:rPr>
        <w:t xml:space="preserve"> of the exporting country, we get:</w:t>
      </w:r>
    </w:p>
    <w:p w:rsidR="00A31CC2" w:rsidRDefault="00A31CC2" w:rsidP="006F5DF0">
      <w:pPr>
        <w:rPr>
          <w:lang w:val="en-US"/>
        </w:rPr>
      </w:pPr>
    </w:p>
    <w:p w:rsidR="00A31CC2" w:rsidRPr="00A31CC2" w:rsidRDefault="00A31CC2" w:rsidP="006F5DF0">
      <w:pPr>
        <w:rPr>
          <w:u w:val="single"/>
          <w:lang w:val="en-US"/>
        </w:rPr>
      </w:pPr>
      <w:r w:rsidRPr="00A31CC2">
        <w:rPr>
          <w:u w:val="single"/>
          <w:lang w:val="en-US"/>
        </w:rPr>
        <w:t>BoP of co</w:t>
      </w:r>
      <w:r w:rsidR="00514ECC">
        <w:rPr>
          <w:u w:val="single"/>
          <w:lang w:val="en-US"/>
        </w:rPr>
        <w:t>u</w:t>
      </w:r>
      <w:r w:rsidRPr="00A31CC2">
        <w:rPr>
          <w:u w:val="single"/>
          <w:lang w:val="en-US"/>
        </w:rPr>
        <w:t>ntry A</w:t>
      </w:r>
      <w:r>
        <w:rPr>
          <w:u w:val="single"/>
          <w:lang w:val="en-US"/>
        </w:rPr>
        <w:t>:</w:t>
      </w:r>
    </w:p>
    <w:p w:rsidR="009C0FE0" w:rsidRDefault="00A31CC2" w:rsidP="006F5DF0">
      <w:pPr>
        <w:rPr>
          <w:lang w:val="en-US"/>
        </w:rPr>
      </w:pPr>
      <w:r>
        <w:rPr>
          <w:lang w:val="en-US"/>
        </w:rPr>
        <w:t xml:space="preserve">Import of goods: </w:t>
      </w:r>
      <w:r w:rsidR="009D5054">
        <w:rPr>
          <w:lang w:val="en-US"/>
        </w:rPr>
        <w:tab/>
      </w:r>
      <w:r>
        <w:rPr>
          <w:lang w:val="en-US"/>
        </w:rPr>
        <w:tab/>
        <w:t>50</w:t>
      </w:r>
      <w:r>
        <w:rPr>
          <w:lang w:val="en-US"/>
        </w:rPr>
        <w:tab/>
      </w:r>
      <w:r>
        <w:rPr>
          <w:lang w:val="en-US"/>
        </w:rPr>
        <w:tab/>
      </w:r>
    </w:p>
    <w:p w:rsidR="00A31CC2" w:rsidRDefault="009D5054" w:rsidP="006F5DF0">
      <w:pPr>
        <w:rPr>
          <w:lang w:val="en-US"/>
        </w:rPr>
      </w:pPr>
      <w:r>
        <w:rPr>
          <w:lang w:val="en-US"/>
        </w:rPr>
        <w:t>Import of freight and insurance</w:t>
      </w:r>
      <w:r w:rsidR="00A31CC2">
        <w:rPr>
          <w:lang w:val="en-US"/>
        </w:rPr>
        <w:t>:</w:t>
      </w:r>
      <w:r>
        <w:rPr>
          <w:lang w:val="en-US"/>
        </w:rPr>
        <w:tab/>
      </w:r>
      <w:r w:rsidR="00A31CC2">
        <w:rPr>
          <w:lang w:val="en-US"/>
        </w:rPr>
        <w:t xml:space="preserve"> 5</w:t>
      </w:r>
    </w:p>
    <w:p w:rsidR="00A31CC2" w:rsidRDefault="00A31CC2" w:rsidP="006F5DF0">
      <w:pPr>
        <w:rPr>
          <w:lang w:val="en-US"/>
        </w:rPr>
      </w:pPr>
      <w:r>
        <w:rPr>
          <w:lang w:val="en-US"/>
        </w:rPr>
        <w:t>Invoiced amount:</w:t>
      </w:r>
      <w:r>
        <w:rPr>
          <w:lang w:val="en-US"/>
        </w:rPr>
        <w:tab/>
      </w:r>
      <w:r w:rsidR="009D5054">
        <w:rPr>
          <w:lang w:val="en-US"/>
        </w:rPr>
        <w:tab/>
      </w:r>
      <w:r>
        <w:rPr>
          <w:lang w:val="en-US"/>
        </w:rPr>
        <w:t>55</w:t>
      </w:r>
    </w:p>
    <w:p w:rsidR="00A31CC2" w:rsidRDefault="00A31CC2" w:rsidP="006F5DF0">
      <w:pPr>
        <w:rPr>
          <w:lang w:val="en-US"/>
        </w:rPr>
      </w:pPr>
    </w:p>
    <w:p w:rsidR="00A31CC2" w:rsidRDefault="00A31CC2" w:rsidP="006F5DF0">
      <w:pPr>
        <w:rPr>
          <w:lang w:val="en-US"/>
        </w:rPr>
      </w:pPr>
      <w:r>
        <w:rPr>
          <w:lang w:val="en-US"/>
        </w:rPr>
        <w:t>Export of goods:</w:t>
      </w:r>
      <w:r>
        <w:rPr>
          <w:lang w:val="en-US"/>
        </w:rPr>
        <w:tab/>
      </w:r>
      <w:r w:rsidR="009D5054">
        <w:rPr>
          <w:lang w:val="en-US"/>
        </w:rPr>
        <w:tab/>
      </w:r>
      <w:r>
        <w:rPr>
          <w:lang w:val="en-US"/>
        </w:rPr>
        <w:t>100</w:t>
      </w:r>
    </w:p>
    <w:p w:rsidR="00A31CC2" w:rsidRDefault="009D5054" w:rsidP="006F5DF0">
      <w:pPr>
        <w:rPr>
          <w:lang w:val="en-US"/>
        </w:rPr>
      </w:pPr>
      <w:r>
        <w:rPr>
          <w:lang w:val="en-US"/>
        </w:rPr>
        <w:t>Export of freight and insurance</w:t>
      </w:r>
      <w:r w:rsidR="00A31CC2">
        <w:rPr>
          <w:lang w:val="en-US"/>
        </w:rPr>
        <w:t xml:space="preserve">: </w:t>
      </w:r>
      <w:r w:rsidR="00A31CC2">
        <w:rPr>
          <w:lang w:val="en-US"/>
        </w:rPr>
        <w:tab/>
        <w:t>20</w:t>
      </w:r>
      <w:r w:rsidR="00A31CC2">
        <w:rPr>
          <w:lang w:val="en-US"/>
        </w:rPr>
        <w:tab/>
      </w:r>
    </w:p>
    <w:p w:rsidR="009C0FE0" w:rsidRDefault="00A31CC2" w:rsidP="006F5DF0">
      <w:pPr>
        <w:rPr>
          <w:lang w:val="en-US"/>
        </w:rPr>
      </w:pPr>
      <w:r>
        <w:rPr>
          <w:lang w:val="en-US"/>
        </w:rPr>
        <w:t>Invoiced amount:</w:t>
      </w:r>
      <w:r w:rsidR="009D5054">
        <w:rPr>
          <w:lang w:val="en-US"/>
        </w:rPr>
        <w:tab/>
      </w:r>
      <w:r>
        <w:rPr>
          <w:lang w:val="en-US"/>
        </w:rPr>
        <w:tab/>
        <w:t>120</w:t>
      </w:r>
    </w:p>
    <w:p w:rsidR="00754399" w:rsidRDefault="00754399" w:rsidP="006F5DF0">
      <w:pPr>
        <w:rPr>
          <w:lang w:val="en-US"/>
        </w:rPr>
      </w:pPr>
    </w:p>
    <w:p w:rsidR="009D5054" w:rsidRDefault="003B5502" w:rsidP="006F5DF0">
      <w:pPr>
        <w:rPr>
          <w:lang w:val="en-US"/>
        </w:rPr>
      </w:pPr>
      <w:r>
        <w:rPr>
          <w:lang w:val="en-US"/>
        </w:rPr>
        <w:t>The values for import and export of freight and insurance services will be recorded in the services account of BoP. In order to ensure coherent statistics, they will be transferred to ITSS as well:</w:t>
      </w:r>
    </w:p>
    <w:p w:rsidR="003B5502" w:rsidRDefault="003B5502" w:rsidP="006F5DF0">
      <w:pPr>
        <w:rPr>
          <w:lang w:val="en-US"/>
        </w:rPr>
      </w:pPr>
    </w:p>
    <w:p w:rsidR="003B5502" w:rsidRPr="003B5502" w:rsidRDefault="003B5502" w:rsidP="006F5DF0">
      <w:pPr>
        <w:rPr>
          <w:u w:val="single"/>
          <w:lang w:val="en-US"/>
        </w:rPr>
      </w:pPr>
      <w:r w:rsidRPr="003B5502">
        <w:rPr>
          <w:u w:val="single"/>
          <w:lang w:val="en-US"/>
        </w:rPr>
        <w:t>ITSS of country A:</w:t>
      </w:r>
    </w:p>
    <w:p w:rsidR="003B5502" w:rsidRDefault="003B5502" w:rsidP="003B5502">
      <w:pPr>
        <w:rPr>
          <w:lang w:val="en-US"/>
        </w:rPr>
      </w:pPr>
      <w:r>
        <w:rPr>
          <w:lang w:val="en-US"/>
        </w:rPr>
        <w:t>Import of freight and insurance:</w:t>
      </w:r>
      <w:r>
        <w:rPr>
          <w:lang w:val="en-US"/>
        </w:rPr>
        <w:tab/>
        <w:t xml:space="preserve"> 5</w:t>
      </w:r>
    </w:p>
    <w:p w:rsidR="003B5502" w:rsidRDefault="003B5502" w:rsidP="003B5502">
      <w:pPr>
        <w:rPr>
          <w:lang w:val="en-US"/>
        </w:rPr>
      </w:pPr>
      <w:r>
        <w:rPr>
          <w:lang w:val="en-US"/>
        </w:rPr>
        <w:t xml:space="preserve">Export of freight and insurance: </w:t>
      </w:r>
      <w:r>
        <w:rPr>
          <w:lang w:val="en-US"/>
        </w:rPr>
        <w:tab/>
        <w:t>20</w:t>
      </w:r>
    </w:p>
    <w:p w:rsidR="003B5502" w:rsidRPr="003B5502" w:rsidRDefault="003B5502" w:rsidP="003B5502">
      <w:pPr>
        <w:rPr>
          <w:lang w:val="en-US"/>
        </w:rPr>
      </w:pPr>
      <w:r>
        <w:rPr>
          <w:lang w:val="en-US"/>
        </w:rPr>
        <w:tab/>
      </w:r>
    </w:p>
    <w:p w:rsidR="007840D5" w:rsidRDefault="006D07BF" w:rsidP="007840D5">
      <w:pPr>
        <w:pStyle w:val="Overskrift3"/>
        <w:rPr>
          <w:lang w:val="en-US"/>
        </w:rPr>
      </w:pPr>
      <w:r>
        <w:rPr>
          <w:lang w:val="en-US"/>
        </w:rPr>
        <w:t>BoP estimations</w:t>
      </w:r>
    </w:p>
    <w:p w:rsidR="00754399" w:rsidRDefault="00754399" w:rsidP="006F5DF0">
      <w:pPr>
        <w:rPr>
          <w:lang w:val="en-US"/>
        </w:rPr>
      </w:pPr>
      <w:r>
        <w:rPr>
          <w:lang w:val="en-US"/>
        </w:rPr>
        <w:t>In practice, BoP uses IMTS as a source for goods trade. As IMTS records import at CIF</w:t>
      </w:r>
      <w:r w:rsidR="001A30A6">
        <w:rPr>
          <w:lang w:val="en-US"/>
        </w:rPr>
        <w:t>,</w:t>
      </w:r>
      <w:r>
        <w:rPr>
          <w:lang w:val="en-US"/>
        </w:rPr>
        <w:t xml:space="preserve"> while BoP records the same trade at FOB, a correction of IMTS is done</w:t>
      </w:r>
      <w:r w:rsidR="007840D5">
        <w:rPr>
          <w:lang w:val="en-US"/>
        </w:rPr>
        <w:t>, changing CIF values to FOB</w:t>
      </w:r>
      <w:r>
        <w:rPr>
          <w:lang w:val="en-US"/>
        </w:rPr>
        <w:t xml:space="preserve"> values before inclusion into BoP. The difference between CIF and FOB is recorded as freight transport</w:t>
      </w:r>
      <w:r w:rsidR="001A30A6">
        <w:rPr>
          <w:lang w:val="en-US"/>
        </w:rPr>
        <w:t xml:space="preserve"> and insurance</w:t>
      </w:r>
      <w:r>
        <w:rPr>
          <w:lang w:val="en-US"/>
        </w:rPr>
        <w:t xml:space="preserve"> to arrive at the figures above. These corrections are known as CIF-FOB corrections.</w:t>
      </w:r>
    </w:p>
    <w:p w:rsidR="00754399" w:rsidRDefault="00754399" w:rsidP="006F5DF0">
      <w:pPr>
        <w:rPr>
          <w:lang w:val="en-US"/>
        </w:rPr>
      </w:pPr>
    </w:p>
    <w:p w:rsidR="001A30A6" w:rsidRDefault="00754399" w:rsidP="006F5DF0">
      <w:pPr>
        <w:rPr>
          <w:lang w:val="en-US"/>
        </w:rPr>
      </w:pPr>
      <w:r>
        <w:rPr>
          <w:lang w:val="en-US"/>
        </w:rPr>
        <w:t>For export, both IMTS and BoP record goods at FOB,</w:t>
      </w:r>
      <w:r w:rsidR="00BE01EB">
        <w:rPr>
          <w:lang w:val="en-US"/>
        </w:rPr>
        <w:t xml:space="preserve"> and hence no correction</w:t>
      </w:r>
      <w:r w:rsidR="007840D5">
        <w:rPr>
          <w:lang w:val="en-US"/>
        </w:rPr>
        <w:t xml:space="preserve"> of IMTS</w:t>
      </w:r>
      <w:r w:rsidR="00BE01EB">
        <w:rPr>
          <w:lang w:val="en-US"/>
        </w:rPr>
        <w:t xml:space="preserve"> is</w:t>
      </w:r>
      <w:r>
        <w:rPr>
          <w:lang w:val="en-US"/>
        </w:rPr>
        <w:t xml:space="preserve"> needed. However, as shown in the table above, export of freight transport</w:t>
      </w:r>
      <w:r w:rsidR="001A30A6">
        <w:rPr>
          <w:lang w:val="en-US"/>
        </w:rPr>
        <w:t xml:space="preserve"> and insurance</w:t>
      </w:r>
      <w:r>
        <w:rPr>
          <w:lang w:val="en-US"/>
        </w:rPr>
        <w:t xml:space="preserve"> should still be shown in BoP in cas</w:t>
      </w:r>
      <w:r w:rsidR="001A30A6">
        <w:rPr>
          <w:lang w:val="en-US"/>
        </w:rPr>
        <w:t>e the suppliers are</w:t>
      </w:r>
      <w:r>
        <w:rPr>
          <w:lang w:val="en-US"/>
        </w:rPr>
        <w:t xml:space="preserve"> resident in the exporting country.</w:t>
      </w:r>
      <w:r w:rsidR="001A30A6">
        <w:rPr>
          <w:lang w:val="en-US"/>
        </w:rPr>
        <w:t xml:space="preserve"> </w:t>
      </w:r>
    </w:p>
    <w:p w:rsidR="001A30A6" w:rsidRDefault="001A30A6" w:rsidP="006F5DF0">
      <w:pPr>
        <w:rPr>
          <w:lang w:val="en-US"/>
        </w:rPr>
      </w:pPr>
    </w:p>
    <w:p w:rsidR="00754399" w:rsidRDefault="001A30A6" w:rsidP="006F5DF0">
      <w:pPr>
        <w:rPr>
          <w:lang w:val="en-US"/>
        </w:rPr>
      </w:pPr>
      <w:r>
        <w:rPr>
          <w:lang w:val="en-US"/>
        </w:rPr>
        <w:t>In the rest of this document, this addition of freight and insurance import and export to BoP (and ITSS) based on data from goods transactions will be referred to in common as “BoP estimations”.</w:t>
      </w:r>
    </w:p>
    <w:p w:rsidR="00754399" w:rsidRDefault="00754399" w:rsidP="006F5DF0">
      <w:pPr>
        <w:rPr>
          <w:lang w:val="en-US"/>
        </w:rPr>
      </w:pPr>
    </w:p>
    <w:p w:rsidR="00754399" w:rsidRDefault="00385AA7" w:rsidP="00385AA7">
      <w:pPr>
        <w:pStyle w:val="Overskrift3"/>
        <w:rPr>
          <w:lang w:val="en-US"/>
        </w:rPr>
      </w:pPr>
      <w:r>
        <w:rPr>
          <w:lang w:val="en-US"/>
        </w:rPr>
        <w:lastRenderedPageBreak/>
        <w:t>Survey data on freight transport</w:t>
      </w:r>
      <w:r w:rsidR="004C7ECB">
        <w:rPr>
          <w:lang w:val="en-US"/>
        </w:rPr>
        <w:t xml:space="preserve"> and insurance</w:t>
      </w:r>
    </w:p>
    <w:p w:rsidR="00385AA7" w:rsidRDefault="00385AA7" w:rsidP="00385AA7">
      <w:pPr>
        <w:rPr>
          <w:lang w:val="en-US"/>
        </w:rPr>
      </w:pPr>
      <w:r>
        <w:rPr>
          <w:lang w:val="en-US"/>
        </w:rPr>
        <w:t xml:space="preserve">For </w:t>
      </w:r>
      <w:r w:rsidR="00B03420">
        <w:rPr>
          <w:lang w:val="en-US"/>
        </w:rPr>
        <w:t>ITSS</w:t>
      </w:r>
      <w:r w:rsidR="00DB7CF6">
        <w:rPr>
          <w:lang w:val="en-US"/>
        </w:rPr>
        <w:t>,</w:t>
      </w:r>
      <w:r>
        <w:rPr>
          <w:lang w:val="en-US"/>
        </w:rPr>
        <w:t xml:space="preserve"> data may be collected in a survey. The survey may include data on freight transport</w:t>
      </w:r>
      <w:r w:rsidR="00B03420">
        <w:rPr>
          <w:lang w:val="en-US"/>
        </w:rPr>
        <w:t xml:space="preserve"> and insurance</w:t>
      </w:r>
      <w:r>
        <w:rPr>
          <w:lang w:val="en-US"/>
        </w:rPr>
        <w:t>. It is assume</w:t>
      </w:r>
      <w:r w:rsidR="00B03420">
        <w:rPr>
          <w:lang w:val="en-US"/>
        </w:rPr>
        <w:t>d</w:t>
      </w:r>
      <w:r>
        <w:rPr>
          <w:lang w:val="en-US"/>
        </w:rPr>
        <w:t xml:space="preserve"> that reporters will report freight transport</w:t>
      </w:r>
      <w:r w:rsidR="00B03420">
        <w:rPr>
          <w:lang w:val="en-US"/>
        </w:rPr>
        <w:t xml:space="preserve"> and insurance</w:t>
      </w:r>
      <w:r>
        <w:rPr>
          <w:lang w:val="en-US"/>
        </w:rPr>
        <w:t xml:space="preserve"> to the survey in case the transport</w:t>
      </w:r>
      <w:r w:rsidR="00B03420">
        <w:rPr>
          <w:lang w:val="en-US"/>
        </w:rPr>
        <w:t>/insurance</w:t>
      </w:r>
      <w:r>
        <w:rPr>
          <w:lang w:val="en-US"/>
        </w:rPr>
        <w:t xml:space="preserve"> has be</w:t>
      </w:r>
      <w:r w:rsidR="00DB7CF6">
        <w:rPr>
          <w:lang w:val="en-US"/>
        </w:rPr>
        <w:t>en</w:t>
      </w:r>
      <w:r>
        <w:rPr>
          <w:lang w:val="en-US"/>
        </w:rPr>
        <w:t xml:space="preserve"> purchased/sold and invoiced separately from the related goods. For instance, if goods are exported and delivery terms are CIF, it means that the exporter will purchase freight transport </w:t>
      </w:r>
      <w:r w:rsidR="00B03420">
        <w:rPr>
          <w:lang w:val="en-US"/>
        </w:rPr>
        <w:t>and insurance and include the value i</w:t>
      </w:r>
      <w:r>
        <w:rPr>
          <w:lang w:val="en-US"/>
        </w:rPr>
        <w:t>n the invoice for the goods. Therefore, we have the following invoices in</w:t>
      </w:r>
      <w:r w:rsidR="0005162C">
        <w:rPr>
          <w:lang w:val="en-US"/>
        </w:rPr>
        <w:t xml:space="preserve"> </w:t>
      </w:r>
      <w:r>
        <w:rPr>
          <w:lang w:val="en-US"/>
        </w:rPr>
        <w:t>case we imagine that the goods have a value of 100 and that the transport</w:t>
      </w:r>
      <w:r w:rsidR="00B03420">
        <w:rPr>
          <w:lang w:val="en-US"/>
        </w:rPr>
        <w:t xml:space="preserve"> and insurance cost 10:</w:t>
      </w:r>
    </w:p>
    <w:p w:rsidR="00385AA7" w:rsidRDefault="00385AA7" w:rsidP="00385AA7">
      <w:pPr>
        <w:rPr>
          <w:lang w:val="en-US"/>
        </w:rPr>
      </w:pPr>
    </w:p>
    <w:p w:rsidR="00385AA7" w:rsidRPr="00B801F8" w:rsidRDefault="00385AA7" w:rsidP="00385AA7">
      <w:pPr>
        <w:rPr>
          <w:u w:val="single"/>
          <w:lang w:val="en-US"/>
        </w:rPr>
      </w:pPr>
      <w:r w:rsidRPr="00B801F8">
        <w:rPr>
          <w:u w:val="single"/>
          <w:lang w:val="en-US"/>
        </w:rPr>
        <w:t>Exporter</w:t>
      </w:r>
    </w:p>
    <w:p w:rsidR="00385AA7" w:rsidRDefault="00385AA7" w:rsidP="00385AA7">
      <w:pPr>
        <w:rPr>
          <w:lang w:val="en-US"/>
        </w:rPr>
      </w:pPr>
      <w:r>
        <w:rPr>
          <w:lang w:val="en-US"/>
        </w:rPr>
        <w:t>Invoice received:</w:t>
      </w:r>
    </w:p>
    <w:p w:rsidR="00385AA7" w:rsidRDefault="00385AA7" w:rsidP="00385AA7">
      <w:pPr>
        <w:rPr>
          <w:lang w:val="en-US"/>
        </w:rPr>
      </w:pPr>
      <w:r>
        <w:rPr>
          <w:lang w:val="en-US"/>
        </w:rPr>
        <w:t>Pu</w:t>
      </w:r>
      <w:r w:rsidR="00B03420">
        <w:rPr>
          <w:lang w:val="en-US"/>
        </w:rPr>
        <w:t>rchase of freight transport and insurance</w:t>
      </w:r>
      <w:r>
        <w:rPr>
          <w:lang w:val="en-US"/>
        </w:rPr>
        <w:t>: 10</w:t>
      </w:r>
    </w:p>
    <w:p w:rsidR="00385AA7" w:rsidRDefault="00385AA7" w:rsidP="00385AA7">
      <w:pPr>
        <w:rPr>
          <w:lang w:val="en-US"/>
        </w:rPr>
      </w:pPr>
    </w:p>
    <w:p w:rsidR="00385AA7" w:rsidRDefault="00385AA7" w:rsidP="00385AA7">
      <w:pPr>
        <w:rPr>
          <w:lang w:val="en-US"/>
        </w:rPr>
      </w:pPr>
      <w:r>
        <w:rPr>
          <w:lang w:val="en-US"/>
        </w:rPr>
        <w:t>Invoice issued:</w:t>
      </w:r>
    </w:p>
    <w:p w:rsidR="00385AA7" w:rsidRDefault="00385AA7" w:rsidP="00385AA7">
      <w:pPr>
        <w:rPr>
          <w:lang w:val="en-US"/>
        </w:rPr>
      </w:pPr>
      <w:r>
        <w:rPr>
          <w:lang w:val="en-US"/>
        </w:rPr>
        <w:t>Sale of goods, incl. transport</w:t>
      </w:r>
      <w:r w:rsidR="00B03420">
        <w:rPr>
          <w:lang w:val="en-US"/>
        </w:rPr>
        <w:t xml:space="preserve"> and insurance</w:t>
      </w:r>
      <w:r>
        <w:rPr>
          <w:lang w:val="en-US"/>
        </w:rPr>
        <w:t xml:space="preserve"> to the border of the importing country: 100+10=110</w:t>
      </w:r>
    </w:p>
    <w:p w:rsidR="00385AA7" w:rsidRDefault="00385AA7" w:rsidP="00385AA7">
      <w:pPr>
        <w:rPr>
          <w:lang w:val="en-US"/>
        </w:rPr>
      </w:pPr>
    </w:p>
    <w:p w:rsidR="00385AA7" w:rsidRPr="00B801F8" w:rsidRDefault="00385AA7" w:rsidP="00385AA7">
      <w:pPr>
        <w:rPr>
          <w:u w:val="single"/>
          <w:lang w:val="en-US"/>
        </w:rPr>
      </w:pPr>
      <w:r w:rsidRPr="00B801F8">
        <w:rPr>
          <w:u w:val="single"/>
          <w:lang w:val="en-US"/>
        </w:rPr>
        <w:t>Importer</w:t>
      </w:r>
    </w:p>
    <w:p w:rsidR="00385AA7" w:rsidRDefault="00385AA7" w:rsidP="00385AA7">
      <w:pPr>
        <w:rPr>
          <w:lang w:val="en-US"/>
        </w:rPr>
      </w:pPr>
      <w:r>
        <w:rPr>
          <w:lang w:val="en-US"/>
        </w:rPr>
        <w:t>Invoice received:</w:t>
      </w:r>
    </w:p>
    <w:p w:rsidR="00385AA7" w:rsidRDefault="00385AA7" w:rsidP="00385AA7">
      <w:pPr>
        <w:rPr>
          <w:lang w:val="en-US"/>
        </w:rPr>
      </w:pPr>
      <w:r>
        <w:rPr>
          <w:lang w:val="en-US"/>
        </w:rPr>
        <w:t>Purchase of goods, incl. transport</w:t>
      </w:r>
      <w:r w:rsidR="00B03420">
        <w:rPr>
          <w:lang w:val="en-US"/>
        </w:rPr>
        <w:t xml:space="preserve"> and insurance</w:t>
      </w:r>
      <w:r>
        <w:rPr>
          <w:lang w:val="en-US"/>
        </w:rPr>
        <w:t xml:space="preserve"> to the border of the importing country: 100+10=110</w:t>
      </w:r>
    </w:p>
    <w:p w:rsidR="00385AA7" w:rsidRDefault="00385AA7" w:rsidP="00385AA7">
      <w:pPr>
        <w:rPr>
          <w:lang w:val="en-US"/>
        </w:rPr>
      </w:pPr>
    </w:p>
    <w:p w:rsidR="00385AA7" w:rsidRDefault="00B03420" w:rsidP="00385AA7">
      <w:pPr>
        <w:rPr>
          <w:lang w:val="en-US"/>
        </w:rPr>
      </w:pPr>
      <w:r>
        <w:rPr>
          <w:lang w:val="en-US"/>
        </w:rPr>
        <w:t>In case</w:t>
      </w:r>
      <w:r w:rsidR="0005162C">
        <w:rPr>
          <w:lang w:val="en-US"/>
        </w:rPr>
        <w:t xml:space="preserve"> transport</w:t>
      </w:r>
      <w:r>
        <w:rPr>
          <w:lang w:val="en-US"/>
        </w:rPr>
        <w:t xml:space="preserve"> and insurance are</w:t>
      </w:r>
      <w:r w:rsidR="0005162C">
        <w:rPr>
          <w:lang w:val="en-US"/>
        </w:rPr>
        <w:t xml:space="preserve"> purchased from </w:t>
      </w:r>
      <w:r>
        <w:rPr>
          <w:lang w:val="en-US"/>
        </w:rPr>
        <w:t xml:space="preserve">suppliers which are </w:t>
      </w:r>
      <w:r w:rsidR="0005162C">
        <w:rPr>
          <w:lang w:val="en-US"/>
        </w:rPr>
        <w:t>not resident in the exporting country, the exporter will report to ITSS survey:</w:t>
      </w:r>
    </w:p>
    <w:p w:rsidR="0005162C" w:rsidRDefault="0005162C" w:rsidP="00385AA7">
      <w:pPr>
        <w:rPr>
          <w:lang w:val="en-US"/>
        </w:rPr>
      </w:pPr>
    </w:p>
    <w:p w:rsidR="0005162C" w:rsidRDefault="0005162C" w:rsidP="00385AA7">
      <w:pPr>
        <w:rPr>
          <w:lang w:val="en-US"/>
        </w:rPr>
      </w:pPr>
      <w:r>
        <w:rPr>
          <w:lang w:val="en-US"/>
        </w:rPr>
        <w:t>Import of freight transport: 10</w:t>
      </w:r>
    </w:p>
    <w:p w:rsidR="0005162C" w:rsidRDefault="0005162C" w:rsidP="00385AA7">
      <w:pPr>
        <w:rPr>
          <w:lang w:val="en-US"/>
        </w:rPr>
      </w:pPr>
    </w:p>
    <w:p w:rsidR="0005162C" w:rsidRDefault="0005162C" w:rsidP="00385AA7">
      <w:pPr>
        <w:rPr>
          <w:lang w:val="en-US"/>
        </w:rPr>
      </w:pPr>
      <w:r>
        <w:rPr>
          <w:lang w:val="en-US"/>
        </w:rPr>
        <w:t>The importer w</w:t>
      </w:r>
      <w:r w:rsidR="00B03420">
        <w:rPr>
          <w:lang w:val="en-US"/>
        </w:rPr>
        <w:t>ill not report to ITSS survey</w:t>
      </w:r>
      <w:r>
        <w:rPr>
          <w:lang w:val="en-US"/>
        </w:rPr>
        <w:t xml:space="preserve"> as no separate invoice for freight transport</w:t>
      </w:r>
      <w:r w:rsidR="00B03420">
        <w:rPr>
          <w:lang w:val="en-US"/>
        </w:rPr>
        <w:t xml:space="preserve"> and insurance</w:t>
      </w:r>
      <w:r>
        <w:rPr>
          <w:lang w:val="en-US"/>
        </w:rPr>
        <w:t xml:space="preserve"> has been received.</w:t>
      </w:r>
    </w:p>
    <w:p w:rsidR="0005162C" w:rsidRDefault="0005162C" w:rsidP="00385AA7">
      <w:pPr>
        <w:rPr>
          <w:lang w:val="en-US"/>
        </w:rPr>
      </w:pPr>
    </w:p>
    <w:p w:rsidR="0005162C" w:rsidRDefault="0005162C" w:rsidP="0005162C">
      <w:pPr>
        <w:pStyle w:val="Overskrift3"/>
        <w:rPr>
          <w:lang w:val="en-US"/>
        </w:rPr>
      </w:pPr>
      <w:r>
        <w:rPr>
          <w:lang w:val="en-US"/>
        </w:rPr>
        <w:t>Potential double counting</w:t>
      </w:r>
      <w:r w:rsidR="00461940">
        <w:rPr>
          <w:lang w:val="en-US"/>
        </w:rPr>
        <w:t xml:space="preserve"> and undercounting</w:t>
      </w:r>
    </w:p>
    <w:p w:rsidR="00A708E8" w:rsidRDefault="002A1C51" w:rsidP="00385AA7">
      <w:pPr>
        <w:rPr>
          <w:lang w:val="en-US"/>
        </w:rPr>
      </w:pPr>
      <w:r>
        <w:rPr>
          <w:lang w:val="en-US"/>
        </w:rPr>
        <w:t>When data on freight transport</w:t>
      </w:r>
      <w:r w:rsidR="003C7A71">
        <w:rPr>
          <w:lang w:val="en-US"/>
        </w:rPr>
        <w:t xml:space="preserve"> and insurance</w:t>
      </w:r>
      <w:r>
        <w:rPr>
          <w:lang w:val="en-US"/>
        </w:rPr>
        <w:t xml:space="preserve"> are derived</w:t>
      </w:r>
      <w:r w:rsidR="00DB7CF6">
        <w:rPr>
          <w:lang w:val="en-US"/>
        </w:rPr>
        <w:t xml:space="preserve"> from</w:t>
      </w:r>
      <w:bookmarkStart w:id="9" w:name="_GoBack"/>
      <w:bookmarkEnd w:id="9"/>
      <w:r>
        <w:rPr>
          <w:lang w:val="en-US"/>
        </w:rPr>
        <w:t xml:space="preserve"> </w:t>
      </w:r>
      <w:r w:rsidR="003C7A71">
        <w:rPr>
          <w:lang w:val="en-US"/>
        </w:rPr>
        <w:t>the BoP estimations</w:t>
      </w:r>
      <w:r w:rsidR="00F06739">
        <w:rPr>
          <w:lang w:val="en-US"/>
        </w:rPr>
        <w:t xml:space="preserve"> described above, a combination of these data with survey data on freight transport</w:t>
      </w:r>
      <w:r w:rsidR="003C7A71">
        <w:rPr>
          <w:lang w:val="en-US"/>
        </w:rPr>
        <w:t xml:space="preserve"> and insurance</w:t>
      </w:r>
      <w:r w:rsidR="00F06739">
        <w:rPr>
          <w:lang w:val="en-US"/>
        </w:rPr>
        <w:t xml:space="preserve"> lea</w:t>
      </w:r>
      <w:r w:rsidR="00A708E8">
        <w:rPr>
          <w:lang w:val="en-US"/>
        </w:rPr>
        <w:t>d to double counting and undercounting</w:t>
      </w:r>
      <w:r w:rsidR="00461940">
        <w:rPr>
          <w:lang w:val="en-US"/>
        </w:rPr>
        <w:t>.</w:t>
      </w:r>
      <w:r w:rsidR="00A708E8">
        <w:rPr>
          <w:lang w:val="en-US"/>
        </w:rPr>
        <w:t xml:space="preserve"> To illustrate the issue, consider an import to country A from country B with the following values:</w:t>
      </w:r>
    </w:p>
    <w:p w:rsidR="00A708E8" w:rsidRDefault="00A708E8" w:rsidP="00385AA7">
      <w:pPr>
        <w:rPr>
          <w:lang w:val="en-US"/>
        </w:rPr>
      </w:pPr>
    </w:p>
    <w:p w:rsidR="00A708E8" w:rsidRDefault="00A708E8" w:rsidP="00385AA7">
      <w:pPr>
        <w:rPr>
          <w:lang w:val="en-US"/>
        </w:rPr>
      </w:pPr>
      <w:r>
        <w:rPr>
          <w:lang w:val="en-US"/>
        </w:rPr>
        <w:t>Raw value of goods: 100</w:t>
      </w:r>
    </w:p>
    <w:p w:rsidR="00A708E8" w:rsidRDefault="00A708E8" w:rsidP="00385AA7">
      <w:pPr>
        <w:rPr>
          <w:lang w:val="en-US"/>
        </w:rPr>
      </w:pPr>
      <w:r>
        <w:rPr>
          <w:lang w:val="en-US"/>
        </w:rPr>
        <w:t>Value of transport</w:t>
      </w:r>
      <w:r w:rsidR="003C7A71">
        <w:rPr>
          <w:lang w:val="en-US"/>
        </w:rPr>
        <w:t xml:space="preserve"> and insurance</w:t>
      </w:r>
      <w:r>
        <w:rPr>
          <w:lang w:val="en-US"/>
        </w:rPr>
        <w:t xml:space="preserve"> from border of B to border of A: 10</w:t>
      </w:r>
    </w:p>
    <w:p w:rsidR="00A708E8" w:rsidRDefault="00A708E8" w:rsidP="00385AA7">
      <w:pPr>
        <w:rPr>
          <w:lang w:val="en-US"/>
        </w:rPr>
      </w:pPr>
    </w:p>
    <w:p w:rsidR="00A708E8" w:rsidRDefault="00A708E8" w:rsidP="00385AA7">
      <w:pPr>
        <w:rPr>
          <w:lang w:val="en-US"/>
        </w:rPr>
      </w:pPr>
      <w:r>
        <w:rPr>
          <w:lang w:val="en-US"/>
        </w:rPr>
        <w:t xml:space="preserve">This transaction will be registered differently in </w:t>
      </w:r>
      <w:r w:rsidR="00BE01EB">
        <w:rPr>
          <w:lang w:val="en-US"/>
        </w:rPr>
        <w:t xml:space="preserve">BoP estimations and ITSS survey </w:t>
      </w:r>
      <w:r>
        <w:rPr>
          <w:lang w:val="en-US"/>
        </w:rPr>
        <w:t>depending on the delivery terms and the nationality of the transport</w:t>
      </w:r>
      <w:r w:rsidR="003C7A71">
        <w:rPr>
          <w:lang w:val="en-US"/>
        </w:rPr>
        <w:t xml:space="preserve"> and insurance</w:t>
      </w:r>
      <w:r>
        <w:rPr>
          <w:lang w:val="en-US"/>
        </w:rPr>
        <w:t xml:space="preserve"> </w:t>
      </w:r>
      <w:r w:rsidR="003C7A71">
        <w:rPr>
          <w:lang w:val="en-US"/>
        </w:rPr>
        <w:t>suppliers</w:t>
      </w:r>
      <w:r>
        <w:rPr>
          <w:lang w:val="en-US"/>
        </w:rPr>
        <w:t xml:space="preserve">. </w:t>
      </w:r>
      <w:r w:rsidR="00BE01EB">
        <w:rPr>
          <w:lang w:val="en-US"/>
        </w:rPr>
        <w:t>Mapping</w:t>
      </w:r>
      <w:r>
        <w:rPr>
          <w:lang w:val="en-US"/>
        </w:rPr>
        <w:t xml:space="preserve"> the four different combinations of delivery terms and nationality of the transport </w:t>
      </w:r>
      <w:r w:rsidR="003C7A71">
        <w:rPr>
          <w:lang w:val="en-US"/>
        </w:rPr>
        <w:t>and insurance suppliers</w:t>
      </w:r>
      <w:r w:rsidR="00BE01EB">
        <w:rPr>
          <w:lang w:val="en-US"/>
        </w:rPr>
        <w:t>,</w:t>
      </w:r>
      <w:r>
        <w:rPr>
          <w:lang w:val="en-US"/>
        </w:rPr>
        <w:t xml:space="preserve"> the following table</w:t>
      </w:r>
      <w:r w:rsidR="00BE01EB">
        <w:rPr>
          <w:lang w:val="en-US"/>
        </w:rPr>
        <w:t xml:space="preserve"> appears</w:t>
      </w:r>
      <w:r>
        <w:rPr>
          <w:lang w:val="en-US"/>
        </w:rPr>
        <w:t>:</w:t>
      </w:r>
    </w:p>
    <w:p w:rsidR="002A1C51" w:rsidRDefault="00461940" w:rsidP="00461940">
      <w:pPr>
        <w:rPr>
          <w:lang w:val="en-US"/>
        </w:rPr>
      </w:pPr>
      <w:r>
        <w:rPr>
          <w:lang w:val="en-US"/>
        </w:rPr>
        <w:t xml:space="preserve"> </w:t>
      </w:r>
    </w:p>
    <w:tbl>
      <w:tblPr>
        <w:tblpPr w:leftFromText="141" w:rightFromText="141" w:vertAnchor="text" w:horzAnchor="margin" w:tblpY="128"/>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70"/>
        <w:gridCol w:w="789"/>
        <w:gridCol w:w="993"/>
        <w:gridCol w:w="850"/>
        <w:gridCol w:w="709"/>
        <w:gridCol w:w="709"/>
        <w:gridCol w:w="709"/>
        <w:gridCol w:w="567"/>
        <w:gridCol w:w="708"/>
        <w:gridCol w:w="621"/>
        <w:gridCol w:w="740"/>
        <w:gridCol w:w="739"/>
        <w:gridCol w:w="740"/>
      </w:tblGrid>
      <w:tr w:rsidR="00A7427F" w:rsidRPr="00A708E8" w:rsidTr="00A7427F">
        <w:trPr>
          <w:trHeight w:val="600"/>
        </w:trPr>
        <w:tc>
          <w:tcPr>
            <w:tcW w:w="709" w:type="dxa"/>
            <w:shd w:val="clear" w:color="auto" w:fill="auto"/>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Flow</w:t>
            </w:r>
          </w:p>
        </w:tc>
        <w:tc>
          <w:tcPr>
            <w:tcW w:w="770" w:type="dxa"/>
            <w:shd w:val="clear" w:color="auto" w:fill="auto"/>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Delivery terms</w:t>
            </w:r>
          </w:p>
        </w:tc>
        <w:tc>
          <w:tcPr>
            <w:tcW w:w="789" w:type="dxa"/>
            <w:shd w:val="clear" w:color="auto" w:fill="auto"/>
            <w:vAlign w:val="center"/>
            <w:hideMark/>
          </w:tcPr>
          <w:p w:rsidR="00A7427F" w:rsidRPr="00A708E8" w:rsidRDefault="00A7427F" w:rsidP="003C7A71">
            <w:pPr>
              <w:spacing w:line="240" w:lineRule="auto"/>
              <w:jc w:val="left"/>
              <w:rPr>
                <w:rFonts w:ascii="Calibri" w:hAnsi="Calibri"/>
                <w:color w:val="000000"/>
                <w:sz w:val="16"/>
                <w:szCs w:val="16"/>
              </w:rPr>
            </w:pPr>
            <w:r w:rsidRPr="00A708E8">
              <w:rPr>
                <w:rFonts w:ascii="Calibri" w:hAnsi="Calibri"/>
                <w:color w:val="000000"/>
                <w:sz w:val="16"/>
                <w:szCs w:val="16"/>
              </w:rPr>
              <w:t>Transport</w:t>
            </w:r>
            <w:r w:rsidR="003C7A71">
              <w:rPr>
                <w:rFonts w:ascii="Calibri" w:hAnsi="Calibri"/>
                <w:color w:val="000000"/>
                <w:sz w:val="16"/>
                <w:szCs w:val="16"/>
              </w:rPr>
              <w:t xml:space="preserve"> and insurance supplier</w:t>
            </w:r>
          </w:p>
        </w:tc>
        <w:tc>
          <w:tcPr>
            <w:tcW w:w="993" w:type="dxa"/>
            <w:shd w:val="clear" w:color="auto" w:fill="auto"/>
            <w:vAlign w:val="center"/>
            <w:hideMark/>
          </w:tcPr>
          <w:p w:rsidR="00A7427F"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Goods</w:t>
            </w:r>
          </w:p>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 xml:space="preserve"> invoice</w:t>
            </w:r>
          </w:p>
        </w:tc>
        <w:tc>
          <w:tcPr>
            <w:tcW w:w="850" w:type="dxa"/>
            <w:shd w:val="clear" w:color="auto" w:fill="auto"/>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 xml:space="preserve">Transport </w:t>
            </w:r>
            <w:r w:rsidR="003C7A71">
              <w:rPr>
                <w:rFonts w:ascii="Calibri" w:hAnsi="Calibri"/>
                <w:color w:val="000000"/>
                <w:sz w:val="16"/>
                <w:szCs w:val="16"/>
              </w:rPr>
              <w:t xml:space="preserve">and insurance </w:t>
            </w:r>
            <w:r w:rsidRPr="00A708E8">
              <w:rPr>
                <w:rFonts w:ascii="Calibri" w:hAnsi="Calibri"/>
                <w:color w:val="000000"/>
                <w:sz w:val="16"/>
                <w:szCs w:val="16"/>
              </w:rPr>
              <w:t>invoice</w:t>
            </w:r>
          </w:p>
        </w:tc>
        <w:tc>
          <w:tcPr>
            <w:tcW w:w="709" w:type="dxa"/>
            <w:shd w:val="clear" w:color="auto" w:fill="auto"/>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Gross import - money flow</w:t>
            </w:r>
          </w:p>
        </w:tc>
        <w:tc>
          <w:tcPr>
            <w:tcW w:w="709" w:type="dxa"/>
            <w:shd w:val="clear" w:color="auto" w:fill="auto"/>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Gross export - money flow</w:t>
            </w:r>
          </w:p>
        </w:tc>
        <w:tc>
          <w:tcPr>
            <w:tcW w:w="709" w:type="dxa"/>
            <w:shd w:val="clear" w:color="auto" w:fill="auto"/>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Net import - money flow</w:t>
            </w:r>
          </w:p>
        </w:tc>
        <w:tc>
          <w:tcPr>
            <w:tcW w:w="567" w:type="dxa"/>
            <w:shd w:val="clear" w:color="auto" w:fill="auto"/>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BoP goods</w:t>
            </w:r>
          </w:p>
        </w:tc>
        <w:tc>
          <w:tcPr>
            <w:tcW w:w="708" w:type="dxa"/>
            <w:shd w:val="clear" w:color="auto" w:fill="auto"/>
            <w:vAlign w:val="center"/>
            <w:hideMark/>
          </w:tcPr>
          <w:p w:rsidR="00A7427F" w:rsidRPr="00A708E8" w:rsidRDefault="004802E9" w:rsidP="00A7427F">
            <w:pPr>
              <w:spacing w:line="240" w:lineRule="auto"/>
              <w:jc w:val="left"/>
              <w:rPr>
                <w:rFonts w:ascii="Calibri" w:hAnsi="Calibri"/>
                <w:color w:val="000000"/>
                <w:sz w:val="16"/>
                <w:szCs w:val="16"/>
              </w:rPr>
            </w:pPr>
            <w:r>
              <w:rPr>
                <w:rFonts w:ascii="Calibri" w:hAnsi="Calibri"/>
                <w:color w:val="000000"/>
                <w:sz w:val="16"/>
                <w:szCs w:val="16"/>
              </w:rPr>
              <w:t>BoP estimations</w:t>
            </w:r>
          </w:p>
        </w:tc>
        <w:tc>
          <w:tcPr>
            <w:tcW w:w="621" w:type="dxa"/>
            <w:shd w:val="clear" w:color="auto" w:fill="auto"/>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ITSS survey</w:t>
            </w:r>
          </w:p>
        </w:tc>
        <w:tc>
          <w:tcPr>
            <w:tcW w:w="740" w:type="dxa"/>
            <w:shd w:val="clear" w:color="auto" w:fill="auto"/>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Gross import - statistics</w:t>
            </w:r>
          </w:p>
        </w:tc>
        <w:tc>
          <w:tcPr>
            <w:tcW w:w="739" w:type="dxa"/>
            <w:shd w:val="clear" w:color="auto" w:fill="auto"/>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Gross export - statistics</w:t>
            </w:r>
          </w:p>
        </w:tc>
        <w:tc>
          <w:tcPr>
            <w:tcW w:w="740" w:type="dxa"/>
            <w:shd w:val="clear" w:color="auto" w:fill="auto"/>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Net import - statistics</w:t>
            </w:r>
          </w:p>
        </w:tc>
      </w:tr>
      <w:tr w:rsidR="00A7427F" w:rsidRPr="00A708E8" w:rsidTr="00A7427F">
        <w:trPr>
          <w:trHeight w:val="300"/>
        </w:trPr>
        <w:tc>
          <w:tcPr>
            <w:tcW w:w="709"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Import A &lt;- B</w:t>
            </w:r>
          </w:p>
        </w:tc>
        <w:tc>
          <w:tcPr>
            <w:tcW w:w="770"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CIF</w:t>
            </w:r>
          </w:p>
        </w:tc>
        <w:tc>
          <w:tcPr>
            <w:tcW w:w="789"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A</w:t>
            </w:r>
          </w:p>
        </w:tc>
        <w:tc>
          <w:tcPr>
            <w:tcW w:w="993"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A &lt;- B</w:t>
            </w:r>
            <w:r>
              <w:rPr>
                <w:rFonts w:ascii="Calibri" w:hAnsi="Calibri"/>
                <w:color w:val="000000"/>
                <w:sz w:val="16"/>
                <w:szCs w:val="16"/>
              </w:rPr>
              <w:t>: 110</w:t>
            </w:r>
          </w:p>
        </w:tc>
        <w:tc>
          <w:tcPr>
            <w:tcW w:w="850"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A -&gt; B</w:t>
            </w:r>
            <w:r>
              <w:rPr>
                <w:rFonts w:ascii="Calibri" w:hAnsi="Calibri"/>
                <w:color w:val="000000"/>
                <w:sz w:val="16"/>
                <w:szCs w:val="16"/>
              </w:rPr>
              <w:t>: 10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110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100</w:t>
            </w:r>
          </w:p>
        </w:tc>
        <w:tc>
          <w:tcPr>
            <w:tcW w:w="567"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100</w:t>
            </w:r>
          </w:p>
        </w:tc>
        <w:tc>
          <w:tcPr>
            <w:tcW w:w="708"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0</w:t>
            </w:r>
          </w:p>
        </w:tc>
        <w:tc>
          <w:tcPr>
            <w:tcW w:w="621"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w:t>
            </w:r>
          </w:p>
        </w:tc>
        <w:tc>
          <w:tcPr>
            <w:tcW w:w="740"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100</w:t>
            </w:r>
          </w:p>
        </w:tc>
        <w:tc>
          <w:tcPr>
            <w:tcW w:w="73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w:t>
            </w:r>
          </w:p>
        </w:tc>
        <w:tc>
          <w:tcPr>
            <w:tcW w:w="740"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90</w:t>
            </w:r>
          </w:p>
        </w:tc>
      </w:tr>
      <w:tr w:rsidR="00A7427F" w:rsidRPr="00A708E8" w:rsidTr="00A7427F">
        <w:trPr>
          <w:trHeight w:val="300"/>
        </w:trPr>
        <w:tc>
          <w:tcPr>
            <w:tcW w:w="709"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Import A &lt;- B</w:t>
            </w:r>
          </w:p>
        </w:tc>
        <w:tc>
          <w:tcPr>
            <w:tcW w:w="770"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CIF</w:t>
            </w:r>
          </w:p>
        </w:tc>
        <w:tc>
          <w:tcPr>
            <w:tcW w:w="789"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B</w:t>
            </w:r>
          </w:p>
        </w:tc>
        <w:tc>
          <w:tcPr>
            <w:tcW w:w="993"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A &lt;- B</w:t>
            </w:r>
            <w:r>
              <w:rPr>
                <w:rFonts w:ascii="Calibri" w:hAnsi="Calibri"/>
                <w:color w:val="000000"/>
                <w:sz w:val="16"/>
                <w:szCs w:val="16"/>
              </w:rPr>
              <w:t>: 110</w:t>
            </w:r>
          </w:p>
        </w:tc>
        <w:tc>
          <w:tcPr>
            <w:tcW w:w="850"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B -&gt; B</w:t>
            </w:r>
            <w:r>
              <w:rPr>
                <w:rFonts w:ascii="Calibri" w:hAnsi="Calibri"/>
                <w:color w:val="000000"/>
                <w:sz w:val="16"/>
                <w:szCs w:val="16"/>
              </w:rPr>
              <w:t>: 10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110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110</w:t>
            </w:r>
          </w:p>
        </w:tc>
        <w:tc>
          <w:tcPr>
            <w:tcW w:w="567"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100</w:t>
            </w:r>
          </w:p>
        </w:tc>
        <w:tc>
          <w:tcPr>
            <w:tcW w:w="708"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w:t>
            </w:r>
          </w:p>
        </w:tc>
        <w:tc>
          <w:tcPr>
            <w:tcW w:w="621"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0</w:t>
            </w:r>
          </w:p>
        </w:tc>
        <w:tc>
          <w:tcPr>
            <w:tcW w:w="740"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110</w:t>
            </w:r>
          </w:p>
        </w:tc>
        <w:tc>
          <w:tcPr>
            <w:tcW w:w="73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0</w:t>
            </w:r>
          </w:p>
        </w:tc>
        <w:tc>
          <w:tcPr>
            <w:tcW w:w="740"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110</w:t>
            </w:r>
          </w:p>
        </w:tc>
      </w:tr>
      <w:tr w:rsidR="00A7427F" w:rsidRPr="00A708E8" w:rsidTr="00A7427F">
        <w:trPr>
          <w:trHeight w:val="300"/>
        </w:trPr>
        <w:tc>
          <w:tcPr>
            <w:tcW w:w="709"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lastRenderedPageBreak/>
              <w:t>Import A &lt;- B</w:t>
            </w:r>
          </w:p>
        </w:tc>
        <w:tc>
          <w:tcPr>
            <w:tcW w:w="770"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FOB</w:t>
            </w:r>
          </w:p>
        </w:tc>
        <w:tc>
          <w:tcPr>
            <w:tcW w:w="789"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A</w:t>
            </w:r>
          </w:p>
        </w:tc>
        <w:tc>
          <w:tcPr>
            <w:tcW w:w="993"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A &lt;- B</w:t>
            </w:r>
            <w:r>
              <w:rPr>
                <w:rFonts w:ascii="Calibri" w:hAnsi="Calibri"/>
                <w:color w:val="000000"/>
                <w:sz w:val="16"/>
                <w:szCs w:val="16"/>
              </w:rPr>
              <w:t>: 100</w:t>
            </w:r>
          </w:p>
        </w:tc>
        <w:tc>
          <w:tcPr>
            <w:tcW w:w="850"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A -&gt; A</w:t>
            </w:r>
            <w:r>
              <w:rPr>
                <w:rFonts w:ascii="Calibri" w:hAnsi="Calibri"/>
                <w:color w:val="000000"/>
                <w:sz w:val="16"/>
                <w:szCs w:val="16"/>
              </w:rPr>
              <w:t>: 10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100</w:t>
            </w:r>
          </w:p>
        </w:tc>
        <w:tc>
          <w:tcPr>
            <w:tcW w:w="567"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100</w:t>
            </w:r>
          </w:p>
        </w:tc>
        <w:tc>
          <w:tcPr>
            <w:tcW w:w="708"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0</w:t>
            </w:r>
          </w:p>
        </w:tc>
        <w:tc>
          <w:tcPr>
            <w:tcW w:w="621"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0</w:t>
            </w:r>
          </w:p>
        </w:tc>
        <w:tc>
          <w:tcPr>
            <w:tcW w:w="740"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100</w:t>
            </w:r>
          </w:p>
        </w:tc>
        <w:tc>
          <w:tcPr>
            <w:tcW w:w="73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0</w:t>
            </w:r>
          </w:p>
        </w:tc>
        <w:tc>
          <w:tcPr>
            <w:tcW w:w="740"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100</w:t>
            </w:r>
          </w:p>
        </w:tc>
      </w:tr>
      <w:tr w:rsidR="00A7427F" w:rsidRPr="00A708E8" w:rsidTr="00A7427F">
        <w:trPr>
          <w:trHeight w:val="300"/>
        </w:trPr>
        <w:tc>
          <w:tcPr>
            <w:tcW w:w="709"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Import A &lt;- B</w:t>
            </w:r>
          </w:p>
        </w:tc>
        <w:tc>
          <w:tcPr>
            <w:tcW w:w="770"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FOB</w:t>
            </w:r>
          </w:p>
        </w:tc>
        <w:tc>
          <w:tcPr>
            <w:tcW w:w="789"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B</w:t>
            </w:r>
          </w:p>
        </w:tc>
        <w:tc>
          <w:tcPr>
            <w:tcW w:w="993"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A &lt;- B</w:t>
            </w:r>
            <w:r>
              <w:rPr>
                <w:rFonts w:ascii="Calibri" w:hAnsi="Calibri"/>
                <w:color w:val="000000"/>
                <w:sz w:val="16"/>
                <w:szCs w:val="16"/>
              </w:rPr>
              <w:t>: 100</w:t>
            </w:r>
          </w:p>
        </w:tc>
        <w:tc>
          <w:tcPr>
            <w:tcW w:w="850" w:type="dxa"/>
            <w:shd w:val="clear" w:color="auto" w:fill="auto"/>
            <w:noWrap/>
            <w:vAlign w:val="center"/>
            <w:hideMark/>
          </w:tcPr>
          <w:p w:rsidR="00A7427F" w:rsidRPr="00A708E8" w:rsidRDefault="00A7427F" w:rsidP="00A7427F">
            <w:pPr>
              <w:spacing w:line="240" w:lineRule="auto"/>
              <w:jc w:val="left"/>
              <w:rPr>
                <w:rFonts w:ascii="Calibri" w:hAnsi="Calibri"/>
                <w:color w:val="000000"/>
                <w:sz w:val="16"/>
                <w:szCs w:val="16"/>
              </w:rPr>
            </w:pPr>
            <w:r w:rsidRPr="00A708E8">
              <w:rPr>
                <w:rFonts w:ascii="Calibri" w:hAnsi="Calibri"/>
                <w:color w:val="000000"/>
                <w:sz w:val="16"/>
                <w:szCs w:val="16"/>
              </w:rPr>
              <w:t>A &lt;- B</w:t>
            </w:r>
            <w:r>
              <w:rPr>
                <w:rFonts w:ascii="Calibri" w:hAnsi="Calibri"/>
                <w:color w:val="000000"/>
                <w:sz w:val="16"/>
                <w:szCs w:val="16"/>
              </w:rPr>
              <w:t>: 10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110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0</w:t>
            </w:r>
          </w:p>
        </w:tc>
        <w:tc>
          <w:tcPr>
            <w:tcW w:w="70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110</w:t>
            </w:r>
          </w:p>
        </w:tc>
        <w:tc>
          <w:tcPr>
            <w:tcW w:w="567"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100</w:t>
            </w:r>
          </w:p>
        </w:tc>
        <w:tc>
          <w:tcPr>
            <w:tcW w:w="708"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w:t>
            </w:r>
          </w:p>
        </w:tc>
        <w:tc>
          <w:tcPr>
            <w:tcW w:w="621"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10</w:t>
            </w:r>
          </w:p>
        </w:tc>
        <w:tc>
          <w:tcPr>
            <w:tcW w:w="740"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120</w:t>
            </w:r>
          </w:p>
        </w:tc>
        <w:tc>
          <w:tcPr>
            <w:tcW w:w="739"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0</w:t>
            </w:r>
          </w:p>
        </w:tc>
        <w:tc>
          <w:tcPr>
            <w:tcW w:w="740" w:type="dxa"/>
            <w:shd w:val="clear" w:color="auto" w:fill="auto"/>
            <w:noWrap/>
            <w:vAlign w:val="center"/>
            <w:hideMark/>
          </w:tcPr>
          <w:p w:rsidR="00A7427F" w:rsidRPr="00A708E8" w:rsidRDefault="00A7427F" w:rsidP="00A7427F">
            <w:pPr>
              <w:spacing w:line="240" w:lineRule="auto"/>
              <w:jc w:val="right"/>
              <w:rPr>
                <w:rFonts w:ascii="Calibri" w:hAnsi="Calibri"/>
                <w:color w:val="000000"/>
                <w:sz w:val="16"/>
                <w:szCs w:val="16"/>
              </w:rPr>
            </w:pPr>
            <w:r w:rsidRPr="00A708E8">
              <w:rPr>
                <w:rFonts w:ascii="Calibri" w:hAnsi="Calibri"/>
                <w:color w:val="000000"/>
                <w:sz w:val="16"/>
                <w:szCs w:val="16"/>
              </w:rPr>
              <w:t>120</w:t>
            </w:r>
          </w:p>
        </w:tc>
      </w:tr>
    </w:tbl>
    <w:p w:rsidR="00461940" w:rsidRDefault="00461940" w:rsidP="00461940">
      <w:pPr>
        <w:rPr>
          <w:lang w:val="en-US"/>
        </w:rPr>
      </w:pPr>
    </w:p>
    <w:p w:rsidR="00461940" w:rsidRDefault="00461940" w:rsidP="00461940">
      <w:pPr>
        <w:rPr>
          <w:lang w:val="en-US"/>
        </w:rPr>
      </w:pPr>
    </w:p>
    <w:p w:rsidR="00A708E8" w:rsidRDefault="00A708E8" w:rsidP="00461940">
      <w:pPr>
        <w:rPr>
          <w:lang w:val="en-US"/>
        </w:rPr>
      </w:pPr>
      <w:r>
        <w:rPr>
          <w:lang w:val="en-US"/>
        </w:rPr>
        <w:t xml:space="preserve">Line 1 in the </w:t>
      </w:r>
      <w:r w:rsidR="00E1517A">
        <w:rPr>
          <w:lang w:val="en-US"/>
        </w:rPr>
        <w:t xml:space="preserve">table </w:t>
      </w:r>
      <w:r>
        <w:rPr>
          <w:lang w:val="en-US"/>
        </w:rPr>
        <w:t>read</w:t>
      </w:r>
      <w:r w:rsidR="00E1517A">
        <w:rPr>
          <w:lang w:val="en-US"/>
        </w:rPr>
        <w:t>s</w:t>
      </w:r>
      <w:r>
        <w:rPr>
          <w:lang w:val="en-US"/>
        </w:rPr>
        <w:t xml:space="preserve"> like this: Good</w:t>
      </w:r>
      <w:r w:rsidR="006B2AC1">
        <w:rPr>
          <w:lang w:val="en-US"/>
        </w:rPr>
        <w:t>s</w:t>
      </w:r>
      <w:r>
        <w:rPr>
          <w:lang w:val="en-US"/>
        </w:rPr>
        <w:t xml:space="preserve"> are imported to A fro</w:t>
      </w:r>
      <w:r w:rsidR="00B71DD2">
        <w:rPr>
          <w:lang w:val="en-US"/>
        </w:rPr>
        <w:t>m B with CIF delivery terms and</w:t>
      </w:r>
      <w:r w:rsidR="006B2AC1">
        <w:rPr>
          <w:lang w:val="en-US"/>
        </w:rPr>
        <w:t xml:space="preserve"> transport</w:t>
      </w:r>
      <w:r w:rsidR="00B71DD2">
        <w:rPr>
          <w:lang w:val="en-US"/>
        </w:rPr>
        <w:t xml:space="preserve"> and insurance is handled by a supplier of</w:t>
      </w:r>
      <w:r w:rsidR="00003C4C">
        <w:rPr>
          <w:lang w:val="en-US"/>
        </w:rPr>
        <w:t xml:space="preserve"> country A</w:t>
      </w:r>
      <w:r w:rsidR="006B2AC1">
        <w:rPr>
          <w:lang w:val="en-US"/>
        </w:rPr>
        <w:t>. As delivery terms are CIF, transport</w:t>
      </w:r>
      <w:r w:rsidR="00B71DD2">
        <w:rPr>
          <w:lang w:val="en-US"/>
        </w:rPr>
        <w:t xml:space="preserve"> and insurance</w:t>
      </w:r>
      <w:r w:rsidR="006B2AC1">
        <w:rPr>
          <w:lang w:val="en-US"/>
        </w:rPr>
        <w:t xml:space="preserve"> will by purchased</w:t>
      </w:r>
      <w:r w:rsidR="00B71DD2">
        <w:rPr>
          <w:lang w:val="en-US"/>
        </w:rPr>
        <w:t xml:space="preserve"> from the supplier</w:t>
      </w:r>
      <w:r w:rsidR="006B2AC1">
        <w:rPr>
          <w:lang w:val="en-US"/>
        </w:rPr>
        <w:t xml:space="preserve"> by country B and included in the goods invoice. Therefore, there will be a goods invoice </w:t>
      </w:r>
      <w:r w:rsidR="00B71DD2">
        <w:rPr>
          <w:lang w:val="en-US"/>
        </w:rPr>
        <w:t>at a value of</w:t>
      </w:r>
      <w:r w:rsidR="006B2AC1">
        <w:rPr>
          <w:lang w:val="en-US"/>
        </w:rPr>
        <w:t xml:space="preserve"> 110. Moreover, a transport</w:t>
      </w:r>
      <w:r w:rsidR="00B71DD2">
        <w:rPr>
          <w:lang w:val="en-US"/>
        </w:rPr>
        <w:t xml:space="preserve"> and insurance</w:t>
      </w:r>
      <w:r w:rsidR="006B2AC1">
        <w:rPr>
          <w:lang w:val="en-US"/>
        </w:rPr>
        <w:t xml:space="preserve"> invoice is sent from A to B with a value of 10. </w:t>
      </w:r>
      <w:r w:rsidR="00C87C60">
        <w:rPr>
          <w:lang w:val="en-US"/>
        </w:rPr>
        <w:t>So based on the actual money flow, gross import</w:t>
      </w:r>
      <w:r w:rsidR="00B71DD2">
        <w:rPr>
          <w:lang w:val="en-US"/>
        </w:rPr>
        <w:t xml:space="preserve"> of country A</w:t>
      </w:r>
      <w:r w:rsidR="00C87C60">
        <w:rPr>
          <w:lang w:val="en-US"/>
        </w:rPr>
        <w:t xml:space="preserve"> is 110, gross export is 10 and net import is 100. </w:t>
      </w:r>
      <w:r w:rsidR="00003C4C">
        <w:rPr>
          <w:lang w:val="en-US"/>
        </w:rPr>
        <w:t>BoP will record import of goods at 100 (the FOB value). The transport</w:t>
      </w:r>
      <w:r w:rsidR="00B71DD2">
        <w:rPr>
          <w:lang w:val="en-US"/>
        </w:rPr>
        <w:t xml:space="preserve"> and insurance</w:t>
      </w:r>
      <w:r w:rsidR="00003C4C">
        <w:rPr>
          <w:lang w:val="en-US"/>
        </w:rPr>
        <w:t xml:space="preserve"> will be treated as payable by the importer, so it will be a resident to resident transaction, so no correction is done.</w:t>
      </w:r>
      <w:r w:rsidR="00B71DD2">
        <w:rPr>
          <w:lang w:val="en-US"/>
        </w:rPr>
        <w:t xml:space="preserve"> However, the transport and insurance supplier</w:t>
      </w:r>
      <w:r w:rsidR="00003C4C">
        <w:rPr>
          <w:lang w:val="en-US"/>
        </w:rPr>
        <w:t xml:space="preserve"> will report export of 10 to the ITSS survey. Consequently, BoP</w:t>
      </w:r>
      <w:r w:rsidR="00BE01EB">
        <w:rPr>
          <w:lang w:val="en-US"/>
        </w:rPr>
        <w:t xml:space="preserve"> and ITSS</w:t>
      </w:r>
      <w:r w:rsidR="00003C4C">
        <w:rPr>
          <w:lang w:val="en-US"/>
        </w:rPr>
        <w:t xml:space="preserve"> will show gross import of 100, gross export of 10 and net import of 90. In other words, there will be an undercounting of 10 in the net import compared to the actual money flow.</w:t>
      </w:r>
    </w:p>
    <w:p w:rsidR="00003C4C" w:rsidRDefault="00003C4C" w:rsidP="00461940">
      <w:pPr>
        <w:rPr>
          <w:lang w:val="en-US"/>
        </w:rPr>
      </w:pPr>
    </w:p>
    <w:p w:rsidR="00003C4C" w:rsidRDefault="00E1517A" w:rsidP="00461940">
      <w:pPr>
        <w:rPr>
          <w:lang w:val="en-US"/>
        </w:rPr>
      </w:pPr>
      <w:r>
        <w:rPr>
          <w:lang w:val="en-US"/>
        </w:rPr>
        <w:t>By reading the remaining lines in the same fashion, it becomes evident that line 4 reveals a double counting of 10, whereas in li</w:t>
      </w:r>
      <w:r w:rsidR="00BE01EB">
        <w:rPr>
          <w:lang w:val="en-US"/>
        </w:rPr>
        <w:t>ne 2 and 3 the net import in</w:t>
      </w:r>
      <w:r>
        <w:rPr>
          <w:lang w:val="en-US"/>
        </w:rPr>
        <w:t xml:space="preserve"> statistics matches the net import as it appears based on the actual money flow.</w:t>
      </w:r>
    </w:p>
    <w:p w:rsidR="00E1517A" w:rsidRDefault="00E1517A" w:rsidP="00461940">
      <w:pPr>
        <w:rPr>
          <w:lang w:val="en-US"/>
        </w:rPr>
      </w:pPr>
    </w:p>
    <w:p w:rsidR="00E1517A" w:rsidRDefault="00E1517A" w:rsidP="00461940">
      <w:pPr>
        <w:rPr>
          <w:lang w:val="en-US"/>
        </w:rPr>
      </w:pPr>
      <w:r>
        <w:rPr>
          <w:lang w:val="en-US"/>
        </w:rPr>
        <w:t>For an export from country A to country B, the table looks like this:</w:t>
      </w:r>
    </w:p>
    <w:p w:rsidR="00E1517A" w:rsidRDefault="00E1517A" w:rsidP="00461940">
      <w:pPr>
        <w:rPr>
          <w:lang w:val="en-US"/>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709"/>
        <w:gridCol w:w="803"/>
        <w:gridCol w:w="898"/>
        <w:gridCol w:w="850"/>
        <w:gridCol w:w="709"/>
        <w:gridCol w:w="709"/>
        <w:gridCol w:w="850"/>
        <w:gridCol w:w="567"/>
        <w:gridCol w:w="709"/>
        <w:gridCol w:w="625"/>
        <w:gridCol w:w="740"/>
        <w:gridCol w:w="740"/>
        <w:gridCol w:w="740"/>
      </w:tblGrid>
      <w:tr w:rsidR="00A7427F" w:rsidRPr="00A7427F" w:rsidTr="00A7427F">
        <w:trPr>
          <w:trHeight w:val="300"/>
        </w:trPr>
        <w:tc>
          <w:tcPr>
            <w:tcW w:w="704" w:type="dxa"/>
            <w:shd w:val="clear" w:color="auto" w:fill="auto"/>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Flow</w:t>
            </w:r>
          </w:p>
        </w:tc>
        <w:tc>
          <w:tcPr>
            <w:tcW w:w="709" w:type="dxa"/>
            <w:shd w:val="clear" w:color="auto" w:fill="auto"/>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Delivery terms</w:t>
            </w:r>
          </w:p>
        </w:tc>
        <w:tc>
          <w:tcPr>
            <w:tcW w:w="803" w:type="dxa"/>
            <w:shd w:val="clear" w:color="auto" w:fill="auto"/>
            <w:vAlign w:val="center"/>
            <w:hideMark/>
          </w:tcPr>
          <w:p w:rsidR="00A7427F" w:rsidRPr="00A7427F" w:rsidRDefault="004802E9" w:rsidP="00A7427F">
            <w:pPr>
              <w:spacing w:line="240" w:lineRule="auto"/>
              <w:jc w:val="left"/>
              <w:rPr>
                <w:rFonts w:ascii="Calibri" w:hAnsi="Calibri"/>
                <w:color w:val="000000"/>
                <w:sz w:val="16"/>
                <w:szCs w:val="16"/>
              </w:rPr>
            </w:pPr>
            <w:r w:rsidRPr="00A708E8">
              <w:rPr>
                <w:rFonts w:ascii="Calibri" w:hAnsi="Calibri"/>
                <w:color w:val="000000"/>
                <w:sz w:val="16"/>
                <w:szCs w:val="16"/>
              </w:rPr>
              <w:t>Transport</w:t>
            </w:r>
            <w:r>
              <w:rPr>
                <w:rFonts w:ascii="Calibri" w:hAnsi="Calibri"/>
                <w:color w:val="000000"/>
                <w:sz w:val="16"/>
                <w:szCs w:val="16"/>
              </w:rPr>
              <w:t xml:space="preserve"> and insurance supplier</w:t>
            </w:r>
          </w:p>
        </w:tc>
        <w:tc>
          <w:tcPr>
            <w:tcW w:w="898" w:type="dxa"/>
            <w:shd w:val="clear" w:color="auto" w:fill="auto"/>
            <w:vAlign w:val="center"/>
            <w:hideMark/>
          </w:tcPr>
          <w:p w:rsid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 xml:space="preserve">Goods </w:t>
            </w:r>
          </w:p>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invoice</w:t>
            </w:r>
          </w:p>
        </w:tc>
        <w:tc>
          <w:tcPr>
            <w:tcW w:w="850" w:type="dxa"/>
            <w:shd w:val="clear" w:color="auto" w:fill="auto"/>
            <w:vAlign w:val="center"/>
            <w:hideMark/>
          </w:tcPr>
          <w:p w:rsidR="00A7427F" w:rsidRPr="00A7427F" w:rsidRDefault="004802E9" w:rsidP="00A7427F">
            <w:pPr>
              <w:spacing w:line="240" w:lineRule="auto"/>
              <w:jc w:val="left"/>
              <w:rPr>
                <w:rFonts w:ascii="Calibri" w:hAnsi="Calibri"/>
                <w:color w:val="000000"/>
                <w:sz w:val="16"/>
                <w:szCs w:val="16"/>
              </w:rPr>
            </w:pPr>
            <w:r w:rsidRPr="00A708E8">
              <w:rPr>
                <w:rFonts w:ascii="Calibri" w:hAnsi="Calibri"/>
                <w:color w:val="000000"/>
                <w:sz w:val="16"/>
                <w:szCs w:val="16"/>
              </w:rPr>
              <w:t xml:space="preserve">Transport </w:t>
            </w:r>
            <w:r>
              <w:rPr>
                <w:rFonts w:ascii="Calibri" w:hAnsi="Calibri"/>
                <w:color w:val="000000"/>
                <w:sz w:val="16"/>
                <w:szCs w:val="16"/>
              </w:rPr>
              <w:t xml:space="preserve">and insurance </w:t>
            </w:r>
            <w:r w:rsidRPr="00A708E8">
              <w:rPr>
                <w:rFonts w:ascii="Calibri" w:hAnsi="Calibri"/>
                <w:color w:val="000000"/>
                <w:sz w:val="16"/>
                <w:szCs w:val="16"/>
              </w:rPr>
              <w:t>invoice</w:t>
            </w:r>
          </w:p>
        </w:tc>
        <w:tc>
          <w:tcPr>
            <w:tcW w:w="709" w:type="dxa"/>
            <w:shd w:val="clear" w:color="auto" w:fill="auto"/>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Gross export - money flow</w:t>
            </w:r>
          </w:p>
        </w:tc>
        <w:tc>
          <w:tcPr>
            <w:tcW w:w="709" w:type="dxa"/>
            <w:shd w:val="clear" w:color="auto" w:fill="auto"/>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Gross import - money flow</w:t>
            </w:r>
          </w:p>
        </w:tc>
        <w:tc>
          <w:tcPr>
            <w:tcW w:w="850" w:type="dxa"/>
            <w:shd w:val="clear" w:color="auto" w:fill="auto"/>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Net export - money flow</w:t>
            </w:r>
          </w:p>
        </w:tc>
        <w:tc>
          <w:tcPr>
            <w:tcW w:w="567" w:type="dxa"/>
            <w:shd w:val="clear" w:color="auto" w:fill="auto"/>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BoP goods</w:t>
            </w:r>
          </w:p>
        </w:tc>
        <w:tc>
          <w:tcPr>
            <w:tcW w:w="709" w:type="dxa"/>
            <w:shd w:val="clear" w:color="auto" w:fill="auto"/>
            <w:vAlign w:val="center"/>
            <w:hideMark/>
          </w:tcPr>
          <w:p w:rsidR="00A7427F" w:rsidRPr="00A7427F" w:rsidRDefault="004802E9" w:rsidP="00A7427F">
            <w:pPr>
              <w:spacing w:line="240" w:lineRule="auto"/>
              <w:jc w:val="left"/>
              <w:rPr>
                <w:rFonts w:ascii="Calibri" w:hAnsi="Calibri"/>
                <w:color w:val="000000"/>
                <w:sz w:val="16"/>
                <w:szCs w:val="16"/>
              </w:rPr>
            </w:pPr>
            <w:r>
              <w:rPr>
                <w:rFonts w:ascii="Calibri" w:hAnsi="Calibri"/>
                <w:color w:val="000000"/>
                <w:sz w:val="16"/>
                <w:szCs w:val="16"/>
              </w:rPr>
              <w:t>BoP estimations</w:t>
            </w:r>
          </w:p>
        </w:tc>
        <w:tc>
          <w:tcPr>
            <w:tcW w:w="625" w:type="dxa"/>
            <w:shd w:val="clear" w:color="auto" w:fill="auto"/>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ITSS survey</w:t>
            </w:r>
          </w:p>
        </w:tc>
        <w:tc>
          <w:tcPr>
            <w:tcW w:w="740" w:type="dxa"/>
            <w:shd w:val="clear" w:color="auto" w:fill="auto"/>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Gross export - statistics</w:t>
            </w:r>
          </w:p>
        </w:tc>
        <w:tc>
          <w:tcPr>
            <w:tcW w:w="740" w:type="dxa"/>
            <w:shd w:val="clear" w:color="auto" w:fill="auto"/>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Gross import - statistics</w:t>
            </w:r>
          </w:p>
        </w:tc>
        <w:tc>
          <w:tcPr>
            <w:tcW w:w="740" w:type="dxa"/>
            <w:shd w:val="clear" w:color="auto" w:fill="auto"/>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Net export - statistics</w:t>
            </w:r>
          </w:p>
        </w:tc>
      </w:tr>
      <w:tr w:rsidR="00A7427F" w:rsidRPr="00A7427F" w:rsidTr="00A7427F">
        <w:trPr>
          <w:trHeight w:val="300"/>
        </w:trPr>
        <w:tc>
          <w:tcPr>
            <w:tcW w:w="704" w:type="dxa"/>
            <w:shd w:val="clear" w:color="auto" w:fill="auto"/>
            <w:noWrap/>
            <w:vAlign w:val="center"/>
            <w:hideMark/>
          </w:tcPr>
          <w:p w:rsid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Export</w:t>
            </w:r>
          </w:p>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 -&gt; B</w:t>
            </w:r>
          </w:p>
        </w:tc>
        <w:tc>
          <w:tcPr>
            <w:tcW w:w="709"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CIF</w:t>
            </w:r>
          </w:p>
        </w:tc>
        <w:tc>
          <w:tcPr>
            <w:tcW w:w="803"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w:t>
            </w:r>
          </w:p>
        </w:tc>
        <w:tc>
          <w:tcPr>
            <w:tcW w:w="898"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 -&gt; B: 110</w:t>
            </w:r>
          </w:p>
        </w:tc>
        <w:tc>
          <w:tcPr>
            <w:tcW w:w="850"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 -&gt; A: 10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110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0</w:t>
            </w:r>
          </w:p>
        </w:tc>
        <w:tc>
          <w:tcPr>
            <w:tcW w:w="85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110</w:t>
            </w:r>
          </w:p>
        </w:tc>
        <w:tc>
          <w:tcPr>
            <w:tcW w:w="567"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w:t>
            </w:r>
          </w:p>
        </w:tc>
        <w:tc>
          <w:tcPr>
            <w:tcW w:w="625"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110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110</w:t>
            </w:r>
          </w:p>
        </w:tc>
      </w:tr>
      <w:tr w:rsidR="00A7427F" w:rsidRPr="00A7427F" w:rsidTr="00A7427F">
        <w:trPr>
          <w:trHeight w:val="300"/>
        </w:trPr>
        <w:tc>
          <w:tcPr>
            <w:tcW w:w="704" w:type="dxa"/>
            <w:shd w:val="clear" w:color="auto" w:fill="auto"/>
            <w:noWrap/>
            <w:vAlign w:val="center"/>
            <w:hideMark/>
          </w:tcPr>
          <w:p w:rsid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 xml:space="preserve">Export </w:t>
            </w:r>
          </w:p>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 -&gt; B</w:t>
            </w:r>
          </w:p>
        </w:tc>
        <w:tc>
          <w:tcPr>
            <w:tcW w:w="709"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CIF</w:t>
            </w:r>
          </w:p>
        </w:tc>
        <w:tc>
          <w:tcPr>
            <w:tcW w:w="803"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B</w:t>
            </w:r>
          </w:p>
        </w:tc>
        <w:tc>
          <w:tcPr>
            <w:tcW w:w="898"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 -&gt; B: 110</w:t>
            </w:r>
          </w:p>
        </w:tc>
        <w:tc>
          <w:tcPr>
            <w:tcW w:w="850"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 &lt;- B: 10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110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w:t>
            </w:r>
          </w:p>
        </w:tc>
        <w:tc>
          <w:tcPr>
            <w:tcW w:w="85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100</w:t>
            </w:r>
          </w:p>
        </w:tc>
        <w:tc>
          <w:tcPr>
            <w:tcW w:w="567"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0</w:t>
            </w:r>
          </w:p>
        </w:tc>
        <w:tc>
          <w:tcPr>
            <w:tcW w:w="625"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90</w:t>
            </w:r>
          </w:p>
        </w:tc>
      </w:tr>
      <w:tr w:rsidR="00A7427F" w:rsidRPr="00A7427F" w:rsidTr="00A7427F">
        <w:trPr>
          <w:trHeight w:val="300"/>
        </w:trPr>
        <w:tc>
          <w:tcPr>
            <w:tcW w:w="704" w:type="dxa"/>
            <w:shd w:val="clear" w:color="auto" w:fill="auto"/>
            <w:noWrap/>
            <w:vAlign w:val="center"/>
            <w:hideMark/>
          </w:tcPr>
          <w:p w:rsid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 xml:space="preserve">Export </w:t>
            </w:r>
          </w:p>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 -&gt; B</w:t>
            </w:r>
          </w:p>
        </w:tc>
        <w:tc>
          <w:tcPr>
            <w:tcW w:w="709"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FOB</w:t>
            </w:r>
          </w:p>
        </w:tc>
        <w:tc>
          <w:tcPr>
            <w:tcW w:w="803"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w:t>
            </w:r>
          </w:p>
        </w:tc>
        <w:tc>
          <w:tcPr>
            <w:tcW w:w="898"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 -&gt; B: 100</w:t>
            </w:r>
          </w:p>
        </w:tc>
        <w:tc>
          <w:tcPr>
            <w:tcW w:w="850"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 -&gt; B: 10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110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0</w:t>
            </w:r>
          </w:p>
        </w:tc>
        <w:tc>
          <w:tcPr>
            <w:tcW w:w="85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110</w:t>
            </w:r>
          </w:p>
        </w:tc>
        <w:tc>
          <w:tcPr>
            <w:tcW w:w="567"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w:t>
            </w:r>
          </w:p>
        </w:tc>
        <w:tc>
          <w:tcPr>
            <w:tcW w:w="625"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120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120</w:t>
            </w:r>
          </w:p>
        </w:tc>
      </w:tr>
      <w:tr w:rsidR="00A7427F" w:rsidRPr="00A7427F" w:rsidTr="00A7427F">
        <w:trPr>
          <w:trHeight w:val="300"/>
        </w:trPr>
        <w:tc>
          <w:tcPr>
            <w:tcW w:w="704" w:type="dxa"/>
            <w:shd w:val="clear" w:color="auto" w:fill="auto"/>
            <w:noWrap/>
            <w:vAlign w:val="center"/>
            <w:hideMark/>
          </w:tcPr>
          <w:p w:rsid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 xml:space="preserve">Export </w:t>
            </w:r>
          </w:p>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 -&gt; B</w:t>
            </w:r>
          </w:p>
        </w:tc>
        <w:tc>
          <w:tcPr>
            <w:tcW w:w="709"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FOB</w:t>
            </w:r>
          </w:p>
        </w:tc>
        <w:tc>
          <w:tcPr>
            <w:tcW w:w="803"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B</w:t>
            </w:r>
          </w:p>
        </w:tc>
        <w:tc>
          <w:tcPr>
            <w:tcW w:w="898"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A -&gt; B: 100</w:t>
            </w:r>
          </w:p>
        </w:tc>
        <w:tc>
          <w:tcPr>
            <w:tcW w:w="850" w:type="dxa"/>
            <w:shd w:val="clear" w:color="auto" w:fill="auto"/>
            <w:noWrap/>
            <w:vAlign w:val="center"/>
            <w:hideMark/>
          </w:tcPr>
          <w:p w:rsidR="00A7427F" w:rsidRPr="00A7427F" w:rsidRDefault="00A7427F" w:rsidP="00A7427F">
            <w:pPr>
              <w:spacing w:line="240" w:lineRule="auto"/>
              <w:jc w:val="left"/>
              <w:rPr>
                <w:rFonts w:ascii="Calibri" w:hAnsi="Calibri"/>
                <w:color w:val="000000"/>
                <w:sz w:val="16"/>
                <w:szCs w:val="16"/>
              </w:rPr>
            </w:pPr>
            <w:r w:rsidRPr="00A7427F">
              <w:rPr>
                <w:rFonts w:ascii="Calibri" w:hAnsi="Calibri"/>
                <w:color w:val="000000"/>
                <w:sz w:val="16"/>
                <w:szCs w:val="16"/>
              </w:rPr>
              <w:t>B - &gt; B: 10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0</w:t>
            </w:r>
          </w:p>
        </w:tc>
        <w:tc>
          <w:tcPr>
            <w:tcW w:w="85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100</w:t>
            </w:r>
          </w:p>
        </w:tc>
        <w:tc>
          <w:tcPr>
            <w:tcW w:w="567"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100</w:t>
            </w:r>
          </w:p>
        </w:tc>
        <w:tc>
          <w:tcPr>
            <w:tcW w:w="709"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0</w:t>
            </w:r>
          </w:p>
        </w:tc>
        <w:tc>
          <w:tcPr>
            <w:tcW w:w="625"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0</w:t>
            </w:r>
          </w:p>
        </w:tc>
        <w:tc>
          <w:tcPr>
            <w:tcW w:w="740" w:type="dxa"/>
            <w:shd w:val="clear" w:color="auto" w:fill="auto"/>
            <w:noWrap/>
            <w:vAlign w:val="center"/>
            <w:hideMark/>
          </w:tcPr>
          <w:p w:rsidR="00A7427F" w:rsidRPr="00A7427F" w:rsidRDefault="00A7427F" w:rsidP="00A7427F">
            <w:pPr>
              <w:spacing w:line="240" w:lineRule="auto"/>
              <w:jc w:val="right"/>
              <w:rPr>
                <w:rFonts w:ascii="Calibri" w:hAnsi="Calibri"/>
                <w:color w:val="000000"/>
                <w:sz w:val="16"/>
                <w:szCs w:val="16"/>
              </w:rPr>
            </w:pPr>
            <w:r w:rsidRPr="00A7427F">
              <w:rPr>
                <w:rFonts w:ascii="Calibri" w:hAnsi="Calibri"/>
                <w:color w:val="000000"/>
                <w:sz w:val="16"/>
                <w:szCs w:val="16"/>
              </w:rPr>
              <w:t>100</w:t>
            </w:r>
          </w:p>
        </w:tc>
      </w:tr>
    </w:tbl>
    <w:p w:rsidR="00E1517A" w:rsidRDefault="00E1517A" w:rsidP="00461940">
      <w:pPr>
        <w:rPr>
          <w:lang w:val="en-US"/>
        </w:rPr>
      </w:pPr>
    </w:p>
    <w:p w:rsidR="00A7427F" w:rsidRDefault="00051C44" w:rsidP="00461940">
      <w:pPr>
        <w:rPr>
          <w:lang w:val="en-US"/>
        </w:rPr>
      </w:pPr>
      <w:r>
        <w:rPr>
          <w:lang w:val="en-US"/>
        </w:rPr>
        <w:t>Line 2 reveals an undercouting of 10 and line 3 reveals a double counting of 10. For line 1 and 4</w:t>
      </w:r>
      <w:r w:rsidR="002E5441">
        <w:rPr>
          <w:lang w:val="en-US"/>
        </w:rPr>
        <w:t>,</w:t>
      </w:r>
      <w:r>
        <w:rPr>
          <w:lang w:val="en-US"/>
        </w:rPr>
        <w:t xml:space="preserve"> the net export in statistics matches the net export as it appears based on the actual money flow.</w:t>
      </w:r>
    </w:p>
    <w:p w:rsidR="00051C44" w:rsidRDefault="00051C44" w:rsidP="00461940">
      <w:pPr>
        <w:rPr>
          <w:lang w:val="en-US"/>
        </w:rPr>
      </w:pPr>
    </w:p>
    <w:p w:rsidR="00051C44" w:rsidRDefault="00051C44" w:rsidP="00051C44">
      <w:pPr>
        <w:pStyle w:val="Overskrift3"/>
        <w:rPr>
          <w:lang w:val="en-US"/>
        </w:rPr>
      </w:pPr>
      <w:r>
        <w:rPr>
          <w:lang w:val="en-US"/>
        </w:rPr>
        <w:t>Potential solutions</w:t>
      </w:r>
    </w:p>
    <w:p w:rsidR="008D5ED5" w:rsidRDefault="008D5ED5" w:rsidP="00051C44">
      <w:pPr>
        <w:rPr>
          <w:lang w:val="en-US"/>
        </w:rPr>
      </w:pPr>
      <w:r w:rsidRPr="008D5ED5">
        <w:rPr>
          <w:lang w:val="en-US"/>
        </w:rPr>
        <w:t xml:space="preserve">The problem of undercounting and double counting can be solved by changing either the ITSS survey or the </w:t>
      </w:r>
      <w:r w:rsidR="002E5441">
        <w:rPr>
          <w:lang w:val="en-US"/>
        </w:rPr>
        <w:t>BoP estimations</w:t>
      </w:r>
      <w:r w:rsidRPr="008D5ED5">
        <w:rPr>
          <w:lang w:val="en-US"/>
        </w:rPr>
        <w:t xml:space="preserve">. </w:t>
      </w:r>
    </w:p>
    <w:p w:rsidR="008D5ED5" w:rsidRDefault="008D5ED5" w:rsidP="00051C44">
      <w:pPr>
        <w:rPr>
          <w:lang w:val="en-US"/>
        </w:rPr>
      </w:pPr>
    </w:p>
    <w:p w:rsidR="002F0881" w:rsidRDefault="002F0881" w:rsidP="00051C44">
      <w:pPr>
        <w:rPr>
          <w:i/>
          <w:lang w:val="en-US"/>
        </w:rPr>
      </w:pPr>
      <w:r>
        <w:rPr>
          <w:i/>
          <w:lang w:val="en-US"/>
        </w:rPr>
        <w:t>No data collection in the ITSS survey</w:t>
      </w:r>
    </w:p>
    <w:p w:rsidR="008D5ED5" w:rsidRPr="008D5ED5" w:rsidRDefault="008D5ED5" w:rsidP="00051C44">
      <w:pPr>
        <w:rPr>
          <w:lang w:val="en-US"/>
        </w:rPr>
      </w:pPr>
      <w:r>
        <w:rPr>
          <w:lang w:val="en-US"/>
        </w:rPr>
        <w:t>T</w:t>
      </w:r>
      <w:r w:rsidRPr="002F0881">
        <w:rPr>
          <w:lang w:val="en-US"/>
        </w:rPr>
        <w:t>he most simple solution would be to</w:t>
      </w:r>
      <w:r w:rsidR="00F557CE">
        <w:rPr>
          <w:lang w:val="en-US"/>
        </w:rPr>
        <w:t xml:space="preserve"> collect</w:t>
      </w:r>
      <w:r w:rsidRPr="002F0881">
        <w:rPr>
          <w:lang w:val="en-US"/>
        </w:rPr>
        <w:t xml:space="preserve"> </w:t>
      </w:r>
      <w:r w:rsidR="00277EEC">
        <w:rPr>
          <w:lang w:val="en-US"/>
        </w:rPr>
        <w:t>no data on</w:t>
      </w:r>
      <w:r w:rsidRPr="002F0881">
        <w:rPr>
          <w:lang w:val="en-US"/>
        </w:rPr>
        <w:t xml:space="preserve"> freight transport </w:t>
      </w:r>
      <w:r w:rsidR="00277EEC">
        <w:rPr>
          <w:lang w:val="en-US"/>
        </w:rPr>
        <w:t xml:space="preserve">and freight insurance </w:t>
      </w:r>
      <w:r w:rsidRPr="002F0881">
        <w:rPr>
          <w:lang w:val="en-US"/>
        </w:rPr>
        <w:t>in the ITSS survey. As it can be seen from the tables above, the</w:t>
      </w:r>
      <w:r w:rsidR="00277EEC">
        <w:rPr>
          <w:lang w:val="en-US"/>
        </w:rPr>
        <w:t xml:space="preserve"> sum of</w:t>
      </w:r>
      <w:r w:rsidRPr="002F0881">
        <w:rPr>
          <w:lang w:val="en-US"/>
        </w:rPr>
        <w:t xml:space="preserve"> BoP goods value and </w:t>
      </w:r>
      <w:r w:rsidR="00277EEC">
        <w:rPr>
          <w:lang w:val="en-US"/>
        </w:rPr>
        <w:t>BoP estimations</w:t>
      </w:r>
      <w:r w:rsidRPr="002F0881">
        <w:rPr>
          <w:lang w:val="en-US"/>
        </w:rPr>
        <w:t xml:space="preserve"> in all cases matches th</w:t>
      </w:r>
      <w:r>
        <w:rPr>
          <w:lang w:val="en-US"/>
        </w:rPr>
        <w:t>e</w:t>
      </w:r>
      <w:r w:rsidR="00BE01EB">
        <w:rPr>
          <w:lang w:val="en-US"/>
        </w:rPr>
        <w:t xml:space="preserve"> net</w:t>
      </w:r>
      <w:r>
        <w:rPr>
          <w:lang w:val="en-US"/>
        </w:rPr>
        <w:t xml:space="preserve"> money flow. Therefore, there will be no double counting or undercounting, if no data are added to BoP services</w:t>
      </w:r>
      <w:r w:rsidR="00BE01EB">
        <w:rPr>
          <w:lang w:val="en-US"/>
        </w:rPr>
        <w:t xml:space="preserve"> and ITSS</w:t>
      </w:r>
      <w:r>
        <w:rPr>
          <w:lang w:val="en-US"/>
        </w:rPr>
        <w:t xml:space="preserve"> based on the ITSS survey. However, this is true only for freight transport</w:t>
      </w:r>
      <w:r w:rsidR="00277EEC">
        <w:rPr>
          <w:lang w:val="en-US"/>
        </w:rPr>
        <w:t xml:space="preserve"> and insurance</w:t>
      </w:r>
      <w:r>
        <w:rPr>
          <w:lang w:val="en-US"/>
        </w:rPr>
        <w:t xml:space="preserve"> services related to goods which cross the border of the compiling economy, as </w:t>
      </w:r>
      <w:r w:rsidR="00277EEC">
        <w:rPr>
          <w:lang w:val="en-US"/>
        </w:rPr>
        <w:t>BoP estimations</w:t>
      </w:r>
      <w:r w:rsidR="00FA674F">
        <w:rPr>
          <w:lang w:val="en-US"/>
        </w:rPr>
        <w:t xml:space="preserve"> are done only for these transactions. In case a transport operator of country A moves goods between country B and C and invoices country B for the service, a transaction is done, which cannot be accounted for by the BoP</w:t>
      </w:r>
      <w:r w:rsidR="00277EEC">
        <w:rPr>
          <w:lang w:val="en-US"/>
        </w:rPr>
        <w:t xml:space="preserve"> estimations.</w:t>
      </w:r>
      <w:r w:rsidR="00FA674F">
        <w:rPr>
          <w:lang w:val="en-US"/>
        </w:rPr>
        <w:t xml:space="preserve"> In the same manner, in c</w:t>
      </w:r>
      <w:r w:rsidR="00277EEC">
        <w:rPr>
          <w:lang w:val="en-US"/>
        </w:rPr>
        <w:t>ase a manufacturer of country A</w:t>
      </w:r>
      <w:r w:rsidR="00FA674F">
        <w:rPr>
          <w:lang w:val="en-US"/>
        </w:rPr>
        <w:t xml:space="preserve"> pays a transport operator of country B for moving goods from country B to country C, this transaction also </w:t>
      </w:r>
      <w:r w:rsidR="002F0881">
        <w:rPr>
          <w:lang w:val="en-US"/>
        </w:rPr>
        <w:lastRenderedPageBreak/>
        <w:t>cannot</w:t>
      </w:r>
      <w:r w:rsidR="00FA674F">
        <w:rPr>
          <w:lang w:val="en-US"/>
        </w:rPr>
        <w:t xml:space="preserve"> by </w:t>
      </w:r>
      <w:r w:rsidR="00277EEC">
        <w:rPr>
          <w:lang w:val="en-US"/>
        </w:rPr>
        <w:t>accounted for by BoP estimations</w:t>
      </w:r>
      <w:r w:rsidR="00FA674F">
        <w:rPr>
          <w:lang w:val="en-US"/>
        </w:rPr>
        <w:t>. Therefore, a</w:t>
      </w:r>
      <w:r w:rsidR="002F0881">
        <w:rPr>
          <w:lang w:val="en-US"/>
        </w:rPr>
        <w:t xml:space="preserve"> solution</w:t>
      </w:r>
      <w:r w:rsidR="00FA674F">
        <w:rPr>
          <w:lang w:val="en-US"/>
        </w:rPr>
        <w:t xml:space="preserve"> where no data on freight transport</w:t>
      </w:r>
      <w:r w:rsidR="00277EEC">
        <w:rPr>
          <w:lang w:val="en-US"/>
        </w:rPr>
        <w:t xml:space="preserve"> and freight insurance</w:t>
      </w:r>
      <w:r w:rsidR="00FA674F">
        <w:rPr>
          <w:lang w:val="en-US"/>
        </w:rPr>
        <w:t xml:space="preserve"> is collected in the ITSS survey risks underestimating the total trade in freight transport</w:t>
      </w:r>
      <w:r w:rsidR="00277EEC">
        <w:rPr>
          <w:lang w:val="en-US"/>
        </w:rPr>
        <w:t xml:space="preserve"> and freight insurance</w:t>
      </w:r>
      <w:r w:rsidR="00FA674F">
        <w:rPr>
          <w:lang w:val="en-US"/>
        </w:rPr>
        <w:t xml:space="preserve"> significantly.</w:t>
      </w:r>
    </w:p>
    <w:p w:rsidR="008D5ED5" w:rsidRDefault="008D5ED5" w:rsidP="00051C44">
      <w:pPr>
        <w:rPr>
          <w:lang w:val="en-US"/>
        </w:rPr>
      </w:pPr>
    </w:p>
    <w:p w:rsidR="002F0881" w:rsidRPr="009074F0" w:rsidRDefault="002F0881" w:rsidP="00051C44">
      <w:pPr>
        <w:rPr>
          <w:i/>
          <w:lang w:val="en-US"/>
        </w:rPr>
      </w:pPr>
      <w:r w:rsidRPr="009074F0">
        <w:rPr>
          <w:i/>
          <w:lang w:val="en-US"/>
        </w:rPr>
        <w:t>Only cross-trade collected in the ITSS survey</w:t>
      </w:r>
    </w:p>
    <w:p w:rsidR="000E31F1" w:rsidRDefault="009074F0" w:rsidP="00051C44">
      <w:pPr>
        <w:rPr>
          <w:lang w:val="en-US"/>
        </w:rPr>
      </w:pPr>
      <w:r>
        <w:rPr>
          <w:lang w:val="en-US"/>
        </w:rPr>
        <w:t xml:space="preserve">As a total elimination of freight transport </w:t>
      </w:r>
      <w:r w:rsidR="0049739B">
        <w:rPr>
          <w:lang w:val="en-US"/>
        </w:rPr>
        <w:t xml:space="preserve">and freight insurance </w:t>
      </w:r>
      <w:r>
        <w:rPr>
          <w:lang w:val="en-US"/>
        </w:rPr>
        <w:t>from the ITSS survey may lead to underestimation, an alternative solution may consist in collecting only cross-trade in the survey. Cross-trade is defined in this context as freight transport</w:t>
      </w:r>
      <w:r w:rsidR="0049739B">
        <w:rPr>
          <w:lang w:val="en-US"/>
        </w:rPr>
        <w:t xml:space="preserve"> and insurance</w:t>
      </w:r>
      <w:r>
        <w:rPr>
          <w:lang w:val="en-US"/>
        </w:rPr>
        <w:t xml:space="preserve"> services in connection with movements of goods outside of the compiling economy. This solution will ensure that no undercounting and double counting can happen related to the goods that cross the border, while at the same time </w:t>
      </w:r>
      <w:r w:rsidR="000E31F1">
        <w:rPr>
          <w:lang w:val="en-US"/>
        </w:rPr>
        <w:t xml:space="preserve">freight transport </w:t>
      </w:r>
      <w:r w:rsidR="0049739B">
        <w:rPr>
          <w:lang w:val="en-US"/>
        </w:rPr>
        <w:t xml:space="preserve">and insurance </w:t>
      </w:r>
      <w:r w:rsidR="000E31F1">
        <w:rPr>
          <w:lang w:val="en-US"/>
        </w:rPr>
        <w:t>related to goods which are moved outside the border of the compiling country will not be missing. However, the solution is viable only insofar as reporters are able to distinguish cross-trade from trade related  to goods crossing the border and report only the former.</w:t>
      </w:r>
    </w:p>
    <w:p w:rsidR="000E31F1" w:rsidRDefault="000E31F1" w:rsidP="00051C44">
      <w:pPr>
        <w:rPr>
          <w:lang w:val="en-US"/>
        </w:rPr>
      </w:pPr>
    </w:p>
    <w:p w:rsidR="000E31F1" w:rsidRDefault="006C03B1" w:rsidP="00051C44">
      <w:pPr>
        <w:rPr>
          <w:i/>
          <w:lang w:val="en-US"/>
        </w:rPr>
      </w:pPr>
      <w:r>
        <w:rPr>
          <w:i/>
          <w:lang w:val="en-US"/>
        </w:rPr>
        <w:t>Estimations</w:t>
      </w:r>
      <w:r w:rsidR="000E31F1">
        <w:rPr>
          <w:i/>
          <w:lang w:val="en-US"/>
        </w:rPr>
        <w:t xml:space="preserve"> based on invoice value</w:t>
      </w:r>
    </w:p>
    <w:p w:rsidR="002F0881" w:rsidRDefault="00BF72FE" w:rsidP="00051C44">
      <w:pPr>
        <w:rPr>
          <w:lang w:val="en-US"/>
        </w:rPr>
      </w:pPr>
      <w:r>
        <w:rPr>
          <w:lang w:val="en-US"/>
        </w:rPr>
        <w:t xml:space="preserve">In case the ITSS survey is not changed, changes must be made in </w:t>
      </w:r>
      <w:r w:rsidR="0049739B">
        <w:rPr>
          <w:lang w:val="en-US"/>
        </w:rPr>
        <w:t>BoP estimations</w:t>
      </w:r>
      <w:r>
        <w:rPr>
          <w:lang w:val="en-US"/>
        </w:rPr>
        <w:t xml:space="preserve"> in order to solve the problem of potential undercounting and double counting. The solution would be to</w:t>
      </w:r>
      <w:r w:rsidR="00284AF0">
        <w:rPr>
          <w:lang w:val="en-US"/>
        </w:rPr>
        <w:t xml:space="preserve"> calculate</w:t>
      </w:r>
      <w:r w:rsidR="0049739B">
        <w:rPr>
          <w:lang w:val="en-US"/>
        </w:rPr>
        <w:t xml:space="preserve"> BoP estimations</w:t>
      </w:r>
      <w:r>
        <w:rPr>
          <w:lang w:val="en-US"/>
        </w:rPr>
        <w:t xml:space="preserve"> as invoice value – FOB, instead of CIF –</w:t>
      </w:r>
      <w:r w:rsidR="0049739B">
        <w:rPr>
          <w:lang w:val="en-US"/>
        </w:rPr>
        <w:t xml:space="preserve"> FOB and to do this for all goods, irrespectively of the nationality of the transport and insurance supplier. </w:t>
      </w:r>
      <w:r>
        <w:rPr>
          <w:lang w:val="en-US"/>
        </w:rPr>
        <w:t xml:space="preserve"> </w:t>
      </w:r>
      <w:r w:rsidR="00284AF0">
        <w:rPr>
          <w:lang w:val="en-US"/>
        </w:rPr>
        <w:t xml:space="preserve">This will ensure that in all cases the sum of BoP goods and </w:t>
      </w:r>
      <w:r w:rsidR="0049739B">
        <w:rPr>
          <w:lang w:val="en-US"/>
        </w:rPr>
        <w:t>BoP estimations</w:t>
      </w:r>
      <w:r w:rsidR="00284AF0">
        <w:rPr>
          <w:lang w:val="en-US"/>
        </w:rPr>
        <w:t xml:space="preserve"> will equal the money flow from the goods transaction. Hence, it will be unproblematic to add the </w:t>
      </w:r>
      <w:r w:rsidR="006C03B1">
        <w:rPr>
          <w:lang w:val="en-US"/>
        </w:rPr>
        <w:t>se</w:t>
      </w:r>
      <w:r w:rsidR="00BE01EB">
        <w:rPr>
          <w:lang w:val="en-US"/>
        </w:rPr>
        <w:t>parate service transactions which are collected in</w:t>
      </w:r>
      <w:r w:rsidR="006C03B1">
        <w:rPr>
          <w:lang w:val="en-US"/>
        </w:rPr>
        <w:t xml:space="preserve"> the</w:t>
      </w:r>
      <w:r w:rsidR="00284AF0">
        <w:rPr>
          <w:lang w:val="en-US"/>
        </w:rPr>
        <w:t xml:space="preserve"> ITSS</w:t>
      </w:r>
      <w:r w:rsidR="006C03B1">
        <w:rPr>
          <w:lang w:val="en-US"/>
        </w:rPr>
        <w:t xml:space="preserve"> survey</w:t>
      </w:r>
      <w:r w:rsidR="00284AF0">
        <w:rPr>
          <w:lang w:val="en-US"/>
        </w:rPr>
        <w:t xml:space="preserve">. </w:t>
      </w:r>
      <w:r w:rsidR="00502A74">
        <w:rPr>
          <w:lang w:val="en-US"/>
        </w:rPr>
        <w:t>Moreover, it could be considered an additional advantage of this approach that the available information on the nationality of transport and insurance suppliers</w:t>
      </w:r>
      <w:r w:rsidR="00BC488C">
        <w:rPr>
          <w:lang w:val="en-US"/>
        </w:rPr>
        <w:t xml:space="preserve"> -</w:t>
      </w:r>
      <w:r w:rsidR="00502A74">
        <w:rPr>
          <w:lang w:val="en-US"/>
        </w:rPr>
        <w:t xml:space="preserve"> which is </w:t>
      </w:r>
      <w:r w:rsidR="00BC488C">
        <w:rPr>
          <w:lang w:val="en-US"/>
        </w:rPr>
        <w:t>often of a questionable quality -</w:t>
      </w:r>
      <w:r w:rsidR="00502A74">
        <w:rPr>
          <w:lang w:val="en-US"/>
        </w:rPr>
        <w:t xml:space="preserve"> is no longer </w:t>
      </w:r>
      <w:r w:rsidR="00BC488C">
        <w:rPr>
          <w:lang w:val="en-US"/>
        </w:rPr>
        <w:t>used</w:t>
      </w:r>
      <w:r w:rsidR="00502A74">
        <w:rPr>
          <w:lang w:val="en-US"/>
        </w:rPr>
        <w:t xml:space="preserve">. </w:t>
      </w:r>
      <w:r w:rsidR="00BC488C">
        <w:rPr>
          <w:lang w:val="en-US"/>
        </w:rPr>
        <w:t>The result of the invoice based approach</w:t>
      </w:r>
      <w:r w:rsidR="00284AF0">
        <w:rPr>
          <w:lang w:val="en-US"/>
        </w:rPr>
        <w:t xml:space="preserve"> can be illustrated by </w:t>
      </w:r>
      <w:r w:rsidR="00BE01EB">
        <w:rPr>
          <w:lang w:val="en-US"/>
        </w:rPr>
        <w:t>adding invoice based estimations</w:t>
      </w:r>
      <w:r w:rsidR="00284AF0">
        <w:rPr>
          <w:lang w:val="en-US"/>
        </w:rPr>
        <w:t xml:space="preserve"> to the tables analysed above:</w:t>
      </w:r>
    </w:p>
    <w:p w:rsidR="00284AF0" w:rsidRDefault="00284AF0" w:rsidP="00051C44">
      <w:pPr>
        <w:rPr>
          <w:lang w:val="en-US"/>
        </w:rPr>
      </w:pPr>
    </w:p>
    <w:tbl>
      <w:tblPr>
        <w:tblW w:w="10355" w:type="dxa"/>
        <w:tblInd w:w="-10" w:type="dxa"/>
        <w:tblLayout w:type="fixed"/>
        <w:tblCellMar>
          <w:left w:w="70" w:type="dxa"/>
          <w:right w:w="70" w:type="dxa"/>
        </w:tblCellMar>
        <w:tblLook w:val="04A0" w:firstRow="1" w:lastRow="0" w:firstColumn="1" w:lastColumn="0" w:noHBand="0" w:noVBand="1"/>
      </w:tblPr>
      <w:tblGrid>
        <w:gridCol w:w="709"/>
        <w:gridCol w:w="769"/>
        <w:gridCol w:w="740"/>
        <w:gridCol w:w="901"/>
        <w:gridCol w:w="850"/>
        <w:gridCol w:w="709"/>
        <w:gridCol w:w="709"/>
        <w:gridCol w:w="709"/>
        <w:gridCol w:w="708"/>
        <w:gridCol w:w="709"/>
        <w:gridCol w:w="622"/>
        <w:gridCol w:w="740"/>
        <w:gridCol w:w="764"/>
        <w:gridCol w:w="716"/>
      </w:tblGrid>
      <w:tr w:rsidR="00F74D86" w:rsidRPr="00284AF0" w:rsidTr="00F74D86">
        <w:trPr>
          <w:trHeight w:val="781"/>
        </w:trPr>
        <w:tc>
          <w:tcPr>
            <w:tcW w:w="7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Flow</w:t>
            </w:r>
          </w:p>
        </w:tc>
        <w:tc>
          <w:tcPr>
            <w:tcW w:w="76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Delivery terms</w:t>
            </w:r>
          </w:p>
        </w:tc>
        <w:tc>
          <w:tcPr>
            <w:tcW w:w="7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4802E9" w:rsidP="00284AF0">
            <w:pPr>
              <w:spacing w:line="240" w:lineRule="auto"/>
              <w:jc w:val="left"/>
              <w:rPr>
                <w:rFonts w:ascii="Calibri" w:hAnsi="Calibri"/>
                <w:color w:val="000000"/>
                <w:sz w:val="16"/>
                <w:szCs w:val="16"/>
              </w:rPr>
            </w:pPr>
            <w:r w:rsidRPr="00A708E8">
              <w:rPr>
                <w:rFonts w:ascii="Calibri" w:hAnsi="Calibri"/>
                <w:color w:val="000000"/>
                <w:sz w:val="16"/>
                <w:szCs w:val="16"/>
              </w:rPr>
              <w:t>Transport</w:t>
            </w:r>
            <w:r>
              <w:rPr>
                <w:rFonts w:ascii="Calibri" w:hAnsi="Calibri"/>
                <w:color w:val="000000"/>
                <w:sz w:val="16"/>
                <w:szCs w:val="16"/>
              </w:rPr>
              <w:t xml:space="preserve"> and insurance supplier</w:t>
            </w:r>
          </w:p>
        </w:tc>
        <w:tc>
          <w:tcPr>
            <w:tcW w:w="901" w:type="dxa"/>
            <w:tcBorders>
              <w:top w:val="single" w:sz="8" w:space="0" w:color="auto"/>
              <w:left w:val="nil"/>
              <w:bottom w:val="single" w:sz="8" w:space="0" w:color="auto"/>
              <w:right w:val="single" w:sz="8" w:space="0" w:color="auto"/>
            </w:tcBorders>
            <w:shd w:val="clear" w:color="auto" w:fill="auto"/>
            <w:vAlign w:val="center"/>
            <w:hideMark/>
          </w:tcPr>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Goods</w:t>
            </w:r>
          </w:p>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invoice</w:t>
            </w:r>
          </w:p>
        </w:tc>
        <w:tc>
          <w:tcPr>
            <w:tcW w:w="8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4802E9" w:rsidP="00284AF0">
            <w:pPr>
              <w:spacing w:line="240" w:lineRule="auto"/>
              <w:jc w:val="left"/>
              <w:rPr>
                <w:rFonts w:ascii="Calibri" w:hAnsi="Calibri"/>
                <w:color w:val="000000"/>
                <w:sz w:val="16"/>
                <w:szCs w:val="16"/>
              </w:rPr>
            </w:pPr>
            <w:r w:rsidRPr="00A708E8">
              <w:rPr>
                <w:rFonts w:ascii="Calibri" w:hAnsi="Calibri"/>
                <w:color w:val="000000"/>
                <w:sz w:val="16"/>
                <w:szCs w:val="16"/>
              </w:rPr>
              <w:t xml:space="preserve">Transport </w:t>
            </w:r>
            <w:r>
              <w:rPr>
                <w:rFonts w:ascii="Calibri" w:hAnsi="Calibri"/>
                <w:color w:val="000000"/>
                <w:sz w:val="16"/>
                <w:szCs w:val="16"/>
              </w:rPr>
              <w:t xml:space="preserve">and insurance </w:t>
            </w:r>
            <w:r w:rsidRPr="00A708E8">
              <w:rPr>
                <w:rFonts w:ascii="Calibri" w:hAnsi="Calibri"/>
                <w:color w:val="000000"/>
                <w:sz w:val="16"/>
                <w:szCs w:val="16"/>
              </w:rPr>
              <w:t>invoice</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Gross import - money flow</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Gross export - money flow</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Net import - money flow</w:t>
            </w:r>
          </w:p>
        </w:tc>
        <w:tc>
          <w:tcPr>
            <w:tcW w:w="70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BoP goods</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4802E9" w:rsidP="004802E9">
            <w:pPr>
              <w:spacing w:line="240" w:lineRule="auto"/>
              <w:jc w:val="left"/>
              <w:rPr>
                <w:rFonts w:ascii="Calibri" w:hAnsi="Calibri"/>
                <w:color w:val="000000"/>
                <w:sz w:val="16"/>
                <w:szCs w:val="16"/>
              </w:rPr>
            </w:pPr>
            <w:r>
              <w:rPr>
                <w:rFonts w:ascii="Calibri" w:hAnsi="Calibri"/>
                <w:color w:val="000000"/>
                <w:sz w:val="16"/>
                <w:szCs w:val="16"/>
              </w:rPr>
              <w:t>BoP estimations</w:t>
            </w:r>
          </w:p>
        </w:tc>
        <w:tc>
          <w:tcPr>
            <w:tcW w:w="6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ITSS survey</w:t>
            </w:r>
          </w:p>
        </w:tc>
        <w:tc>
          <w:tcPr>
            <w:tcW w:w="7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Gross import - statistics</w:t>
            </w:r>
          </w:p>
        </w:tc>
        <w:tc>
          <w:tcPr>
            <w:tcW w:w="7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Gross export - statistics</w:t>
            </w:r>
          </w:p>
        </w:tc>
        <w:tc>
          <w:tcPr>
            <w:tcW w:w="71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74D86" w:rsidRPr="00284AF0" w:rsidRDefault="00F74D86" w:rsidP="00284AF0">
            <w:pPr>
              <w:spacing w:line="240" w:lineRule="auto"/>
              <w:jc w:val="left"/>
              <w:rPr>
                <w:rFonts w:ascii="Calibri" w:hAnsi="Calibri"/>
                <w:color w:val="000000"/>
                <w:sz w:val="16"/>
                <w:szCs w:val="16"/>
              </w:rPr>
            </w:pPr>
            <w:r w:rsidRPr="00284AF0">
              <w:rPr>
                <w:rFonts w:ascii="Calibri" w:hAnsi="Calibri"/>
                <w:color w:val="000000"/>
                <w:sz w:val="16"/>
                <w:szCs w:val="16"/>
              </w:rPr>
              <w:t>Net import - statistics</w:t>
            </w:r>
          </w:p>
        </w:tc>
      </w:tr>
      <w:tr w:rsidR="00284AF0" w:rsidRPr="00284AF0" w:rsidTr="00F74D86">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Import A &lt;- B</w:t>
            </w:r>
          </w:p>
        </w:tc>
        <w:tc>
          <w:tcPr>
            <w:tcW w:w="76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CIF</w:t>
            </w:r>
          </w:p>
        </w:tc>
        <w:tc>
          <w:tcPr>
            <w:tcW w:w="74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A</w:t>
            </w:r>
          </w:p>
        </w:tc>
        <w:tc>
          <w:tcPr>
            <w:tcW w:w="901" w:type="dxa"/>
            <w:tcBorders>
              <w:top w:val="single" w:sz="8" w:space="0" w:color="auto"/>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A &lt;- B: 110</w:t>
            </w:r>
          </w:p>
        </w:tc>
        <w:tc>
          <w:tcPr>
            <w:tcW w:w="85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A -&gt; B: 10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110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100</w:t>
            </w:r>
          </w:p>
        </w:tc>
        <w:tc>
          <w:tcPr>
            <w:tcW w:w="708"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w:t>
            </w:r>
          </w:p>
        </w:tc>
        <w:tc>
          <w:tcPr>
            <w:tcW w:w="622"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w:t>
            </w:r>
          </w:p>
        </w:tc>
        <w:tc>
          <w:tcPr>
            <w:tcW w:w="74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110</w:t>
            </w:r>
          </w:p>
        </w:tc>
        <w:tc>
          <w:tcPr>
            <w:tcW w:w="764"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w:t>
            </w:r>
          </w:p>
        </w:tc>
        <w:tc>
          <w:tcPr>
            <w:tcW w:w="716"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100</w:t>
            </w:r>
          </w:p>
        </w:tc>
      </w:tr>
      <w:tr w:rsidR="00284AF0" w:rsidRPr="00284AF0" w:rsidTr="00F74D86">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Import A &lt;- B</w:t>
            </w:r>
          </w:p>
        </w:tc>
        <w:tc>
          <w:tcPr>
            <w:tcW w:w="76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CIF</w:t>
            </w:r>
          </w:p>
        </w:tc>
        <w:tc>
          <w:tcPr>
            <w:tcW w:w="74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B</w:t>
            </w:r>
          </w:p>
        </w:tc>
        <w:tc>
          <w:tcPr>
            <w:tcW w:w="901"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A &lt;- B: 110</w:t>
            </w:r>
          </w:p>
        </w:tc>
        <w:tc>
          <w:tcPr>
            <w:tcW w:w="85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B -&gt; B: 10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110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110</w:t>
            </w:r>
          </w:p>
        </w:tc>
        <w:tc>
          <w:tcPr>
            <w:tcW w:w="708"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w:t>
            </w:r>
          </w:p>
        </w:tc>
        <w:tc>
          <w:tcPr>
            <w:tcW w:w="622"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0</w:t>
            </w:r>
          </w:p>
        </w:tc>
        <w:tc>
          <w:tcPr>
            <w:tcW w:w="74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110</w:t>
            </w:r>
          </w:p>
        </w:tc>
        <w:tc>
          <w:tcPr>
            <w:tcW w:w="764"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0</w:t>
            </w:r>
          </w:p>
        </w:tc>
        <w:tc>
          <w:tcPr>
            <w:tcW w:w="716"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110</w:t>
            </w:r>
          </w:p>
        </w:tc>
      </w:tr>
      <w:tr w:rsidR="00284AF0" w:rsidRPr="00284AF0" w:rsidTr="00F74D86">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Import A &lt;- B</w:t>
            </w:r>
          </w:p>
        </w:tc>
        <w:tc>
          <w:tcPr>
            <w:tcW w:w="76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FOB</w:t>
            </w:r>
          </w:p>
        </w:tc>
        <w:tc>
          <w:tcPr>
            <w:tcW w:w="74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A</w:t>
            </w:r>
          </w:p>
        </w:tc>
        <w:tc>
          <w:tcPr>
            <w:tcW w:w="901"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A &lt;- B: 100</w:t>
            </w:r>
          </w:p>
        </w:tc>
        <w:tc>
          <w:tcPr>
            <w:tcW w:w="85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A -&gt; A: 10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100</w:t>
            </w:r>
          </w:p>
        </w:tc>
        <w:tc>
          <w:tcPr>
            <w:tcW w:w="708"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0</w:t>
            </w:r>
          </w:p>
        </w:tc>
        <w:tc>
          <w:tcPr>
            <w:tcW w:w="622"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0</w:t>
            </w:r>
          </w:p>
        </w:tc>
        <w:tc>
          <w:tcPr>
            <w:tcW w:w="74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100</w:t>
            </w:r>
          </w:p>
        </w:tc>
        <w:tc>
          <w:tcPr>
            <w:tcW w:w="764"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0</w:t>
            </w:r>
          </w:p>
        </w:tc>
        <w:tc>
          <w:tcPr>
            <w:tcW w:w="716"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100</w:t>
            </w:r>
          </w:p>
        </w:tc>
      </w:tr>
      <w:tr w:rsidR="00284AF0" w:rsidRPr="00284AF0" w:rsidTr="00F74D86">
        <w:trPr>
          <w:trHeight w:val="31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Import A &lt;- B</w:t>
            </w:r>
          </w:p>
        </w:tc>
        <w:tc>
          <w:tcPr>
            <w:tcW w:w="76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FOB</w:t>
            </w:r>
          </w:p>
        </w:tc>
        <w:tc>
          <w:tcPr>
            <w:tcW w:w="74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B</w:t>
            </w:r>
          </w:p>
        </w:tc>
        <w:tc>
          <w:tcPr>
            <w:tcW w:w="901"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A &lt;- B: 100</w:t>
            </w:r>
          </w:p>
        </w:tc>
        <w:tc>
          <w:tcPr>
            <w:tcW w:w="85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left"/>
              <w:rPr>
                <w:rFonts w:ascii="Calibri" w:hAnsi="Calibri"/>
                <w:color w:val="000000"/>
                <w:sz w:val="16"/>
                <w:szCs w:val="16"/>
              </w:rPr>
            </w:pPr>
            <w:r w:rsidRPr="00284AF0">
              <w:rPr>
                <w:rFonts w:ascii="Calibri" w:hAnsi="Calibri"/>
                <w:color w:val="000000"/>
                <w:sz w:val="16"/>
                <w:szCs w:val="16"/>
              </w:rPr>
              <w:t>A &lt;- B: 10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110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110</w:t>
            </w:r>
          </w:p>
        </w:tc>
        <w:tc>
          <w:tcPr>
            <w:tcW w:w="708"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100</w:t>
            </w:r>
          </w:p>
        </w:tc>
        <w:tc>
          <w:tcPr>
            <w:tcW w:w="709"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0</w:t>
            </w:r>
          </w:p>
        </w:tc>
        <w:tc>
          <w:tcPr>
            <w:tcW w:w="622"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10</w:t>
            </w:r>
          </w:p>
        </w:tc>
        <w:tc>
          <w:tcPr>
            <w:tcW w:w="740"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110</w:t>
            </w:r>
          </w:p>
        </w:tc>
        <w:tc>
          <w:tcPr>
            <w:tcW w:w="764"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0</w:t>
            </w:r>
          </w:p>
        </w:tc>
        <w:tc>
          <w:tcPr>
            <w:tcW w:w="716" w:type="dxa"/>
            <w:tcBorders>
              <w:top w:val="nil"/>
              <w:left w:val="nil"/>
              <w:bottom w:val="single" w:sz="8" w:space="0" w:color="auto"/>
              <w:right w:val="single" w:sz="8" w:space="0" w:color="auto"/>
            </w:tcBorders>
            <w:shd w:val="clear" w:color="auto" w:fill="auto"/>
            <w:noWrap/>
            <w:vAlign w:val="center"/>
            <w:hideMark/>
          </w:tcPr>
          <w:p w:rsidR="00284AF0" w:rsidRPr="00284AF0" w:rsidRDefault="00284AF0" w:rsidP="00284AF0">
            <w:pPr>
              <w:spacing w:line="240" w:lineRule="auto"/>
              <w:jc w:val="right"/>
              <w:rPr>
                <w:rFonts w:ascii="Calibri" w:hAnsi="Calibri"/>
                <w:color w:val="000000"/>
                <w:sz w:val="16"/>
                <w:szCs w:val="16"/>
              </w:rPr>
            </w:pPr>
            <w:r w:rsidRPr="00284AF0">
              <w:rPr>
                <w:rFonts w:ascii="Calibri" w:hAnsi="Calibri"/>
                <w:color w:val="000000"/>
                <w:sz w:val="16"/>
                <w:szCs w:val="16"/>
              </w:rPr>
              <w:t>110</w:t>
            </w:r>
          </w:p>
        </w:tc>
      </w:tr>
    </w:tbl>
    <w:p w:rsidR="00284AF0" w:rsidRDefault="00284AF0" w:rsidP="00051C44">
      <w:pPr>
        <w:rPr>
          <w:lang w:val="en-US"/>
        </w:rPr>
      </w:pPr>
    </w:p>
    <w:tbl>
      <w:tblPr>
        <w:tblW w:w="103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99"/>
        <w:gridCol w:w="778"/>
        <w:gridCol w:w="781"/>
        <w:gridCol w:w="851"/>
        <w:gridCol w:w="850"/>
        <w:gridCol w:w="709"/>
        <w:gridCol w:w="709"/>
        <w:gridCol w:w="709"/>
        <w:gridCol w:w="708"/>
        <w:gridCol w:w="709"/>
        <w:gridCol w:w="630"/>
        <w:gridCol w:w="740"/>
        <w:gridCol w:w="740"/>
        <w:gridCol w:w="740"/>
      </w:tblGrid>
      <w:tr w:rsidR="00F74D86" w:rsidRPr="00F74D86" w:rsidTr="004802E9">
        <w:trPr>
          <w:trHeight w:val="840"/>
        </w:trPr>
        <w:tc>
          <w:tcPr>
            <w:tcW w:w="699" w:type="dxa"/>
            <w:shd w:val="clear" w:color="auto" w:fill="auto"/>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Flow</w:t>
            </w:r>
          </w:p>
        </w:tc>
        <w:tc>
          <w:tcPr>
            <w:tcW w:w="778" w:type="dxa"/>
            <w:shd w:val="clear" w:color="auto" w:fill="auto"/>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Delivery terms</w:t>
            </w:r>
          </w:p>
        </w:tc>
        <w:tc>
          <w:tcPr>
            <w:tcW w:w="781" w:type="dxa"/>
            <w:shd w:val="clear" w:color="auto" w:fill="auto"/>
            <w:vAlign w:val="center"/>
            <w:hideMark/>
          </w:tcPr>
          <w:p w:rsidR="00F74D86" w:rsidRPr="00F74D86" w:rsidRDefault="004802E9" w:rsidP="00F74D86">
            <w:pPr>
              <w:spacing w:line="240" w:lineRule="auto"/>
              <w:jc w:val="left"/>
              <w:rPr>
                <w:rFonts w:ascii="Calibri" w:hAnsi="Calibri"/>
                <w:color w:val="000000"/>
                <w:sz w:val="16"/>
                <w:szCs w:val="16"/>
              </w:rPr>
            </w:pPr>
            <w:r w:rsidRPr="00A708E8">
              <w:rPr>
                <w:rFonts w:ascii="Calibri" w:hAnsi="Calibri"/>
                <w:color w:val="000000"/>
                <w:sz w:val="16"/>
                <w:szCs w:val="16"/>
              </w:rPr>
              <w:t>Transport</w:t>
            </w:r>
            <w:r>
              <w:rPr>
                <w:rFonts w:ascii="Calibri" w:hAnsi="Calibri"/>
                <w:color w:val="000000"/>
                <w:sz w:val="16"/>
                <w:szCs w:val="16"/>
              </w:rPr>
              <w:t xml:space="preserve"> and insurance supplier</w:t>
            </w:r>
          </w:p>
        </w:tc>
        <w:tc>
          <w:tcPr>
            <w:tcW w:w="851" w:type="dxa"/>
            <w:shd w:val="clear" w:color="auto" w:fill="auto"/>
            <w:vAlign w:val="center"/>
            <w:hideMark/>
          </w:tcPr>
          <w:p w:rsid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 xml:space="preserve">Goods </w:t>
            </w:r>
          </w:p>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invoice</w:t>
            </w:r>
          </w:p>
        </w:tc>
        <w:tc>
          <w:tcPr>
            <w:tcW w:w="850" w:type="dxa"/>
            <w:shd w:val="clear" w:color="auto" w:fill="auto"/>
            <w:vAlign w:val="center"/>
            <w:hideMark/>
          </w:tcPr>
          <w:p w:rsidR="00F74D86" w:rsidRPr="00F74D86" w:rsidRDefault="004802E9" w:rsidP="00F74D86">
            <w:pPr>
              <w:spacing w:line="240" w:lineRule="auto"/>
              <w:jc w:val="left"/>
              <w:rPr>
                <w:rFonts w:ascii="Calibri" w:hAnsi="Calibri"/>
                <w:color w:val="000000"/>
                <w:sz w:val="16"/>
                <w:szCs w:val="16"/>
              </w:rPr>
            </w:pPr>
            <w:r w:rsidRPr="00A708E8">
              <w:rPr>
                <w:rFonts w:ascii="Calibri" w:hAnsi="Calibri"/>
                <w:color w:val="000000"/>
                <w:sz w:val="16"/>
                <w:szCs w:val="16"/>
              </w:rPr>
              <w:t xml:space="preserve">Transport </w:t>
            </w:r>
            <w:r>
              <w:rPr>
                <w:rFonts w:ascii="Calibri" w:hAnsi="Calibri"/>
                <w:color w:val="000000"/>
                <w:sz w:val="16"/>
                <w:szCs w:val="16"/>
              </w:rPr>
              <w:t xml:space="preserve">and insurance </w:t>
            </w:r>
            <w:r w:rsidRPr="00A708E8">
              <w:rPr>
                <w:rFonts w:ascii="Calibri" w:hAnsi="Calibri"/>
                <w:color w:val="000000"/>
                <w:sz w:val="16"/>
                <w:szCs w:val="16"/>
              </w:rPr>
              <w:t>invoice</w:t>
            </w:r>
          </w:p>
        </w:tc>
        <w:tc>
          <w:tcPr>
            <w:tcW w:w="709" w:type="dxa"/>
            <w:shd w:val="clear" w:color="auto" w:fill="auto"/>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Gross export - money flow</w:t>
            </w:r>
          </w:p>
        </w:tc>
        <w:tc>
          <w:tcPr>
            <w:tcW w:w="709" w:type="dxa"/>
            <w:shd w:val="clear" w:color="auto" w:fill="auto"/>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Gross import - money flow</w:t>
            </w:r>
          </w:p>
        </w:tc>
        <w:tc>
          <w:tcPr>
            <w:tcW w:w="709" w:type="dxa"/>
            <w:shd w:val="clear" w:color="auto" w:fill="auto"/>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Net export - money flow</w:t>
            </w:r>
          </w:p>
        </w:tc>
        <w:tc>
          <w:tcPr>
            <w:tcW w:w="708" w:type="dxa"/>
            <w:shd w:val="clear" w:color="auto" w:fill="auto"/>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BoP goods</w:t>
            </w:r>
          </w:p>
        </w:tc>
        <w:tc>
          <w:tcPr>
            <w:tcW w:w="709" w:type="dxa"/>
            <w:shd w:val="clear" w:color="auto" w:fill="auto"/>
            <w:vAlign w:val="center"/>
            <w:hideMark/>
          </w:tcPr>
          <w:p w:rsidR="00F74D86" w:rsidRPr="00F74D86" w:rsidRDefault="004802E9" w:rsidP="00F74D86">
            <w:pPr>
              <w:spacing w:line="240" w:lineRule="auto"/>
              <w:jc w:val="left"/>
              <w:rPr>
                <w:rFonts w:ascii="Calibri" w:hAnsi="Calibri"/>
                <w:color w:val="000000"/>
                <w:sz w:val="16"/>
                <w:szCs w:val="16"/>
              </w:rPr>
            </w:pPr>
            <w:r>
              <w:rPr>
                <w:rFonts w:ascii="Calibri" w:hAnsi="Calibri"/>
                <w:color w:val="000000"/>
                <w:sz w:val="16"/>
                <w:szCs w:val="16"/>
              </w:rPr>
              <w:t>BoP estimations</w:t>
            </w:r>
          </w:p>
        </w:tc>
        <w:tc>
          <w:tcPr>
            <w:tcW w:w="630" w:type="dxa"/>
            <w:shd w:val="clear" w:color="auto" w:fill="auto"/>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ITSS survey</w:t>
            </w:r>
          </w:p>
        </w:tc>
        <w:tc>
          <w:tcPr>
            <w:tcW w:w="740" w:type="dxa"/>
            <w:shd w:val="clear" w:color="auto" w:fill="auto"/>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Gross export - statistics</w:t>
            </w:r>
          </w:p>
        </w:tc>
        <w:tc>
          <w:tcPr>
            <w:tcW w:w="740" w:type="dxa"/>
            <w:shd w:val="clear" w:color="auto" w:fill="auto"/>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Gross import - statistics</w:t>
            </w:r>
          </w:p>
        </w:tc>
        <w:tc>
          <w:tcPr>
            <w:tcW w:w="740" w:type="dxa"/>
            <w:shd w:val="clear" w:color="auto" w:fill="auto"/>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Net export - statistics</w:t>
            </w:r>
          </w:p>
        </w:tc>
      </w:tr>
      <w:tr w:rsidR="00F74D86" w:rsidRPr="00F74D86" w:rsidTr="004802E9">
        <w:trPr>
          <w:trHeight w:val="300"/>
        </w:trPr>
        <w:tc>
          <w:tcPr>
            <w:tcW w:w="699" w:type="dxa"/>
            <w:shd w:val="clear" w:color="auto" w:fill="auto"/>
            <w:noWrap/>
            <w:vAlign w:val="center"/>
            <w:hideMark/>
          </w:tcPr>
          <w:p w:rsid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 xml:space="preserve">Export </w:t>
            </w:r>
          </w:p>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 -&gt; B</w:t>
            </w:r>
          </w:p>
        </w:tc>
        <w:tc>
          <w:tcPr>
            <w:tcW w:w="778"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CIF</w:t>
            </w:r>
          </w:p>
        </w:tc>
        <w:tc>
          <w:tcPr>
            <w:tcW w:w="781"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w:t>
            </w:r>
          </w:p>
        </w:tc>
        <w:tc>
          <w:tcPr>
            <w:tcW w:w="851"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 -&gt; B: 110</w:t>
            </w:r>
          </w:p>
        </w:tc>
        <w:tc>
          <w:tcPr>
            <w:tcW w:w="850"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 -&gt; A: 10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110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110</w:t>
            </w:r>
          </w:p>
        </w:tc>
        <w:tc>
          <w:tcPr>
            <w:tcW w:w="708"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w:t>
            </w:r>
          </w:p>
        </w:tc>
        <w:tc>
          <w:tcPr>
            <w:tcW w:w="63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110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110</w:t>
            </w:r>
          </w:p>
        </w:tc>
      </w:tr>
      <w:tr w:rsidR="00F74D86" w:rsidRPr="00F74D86" w:rsidTr="004802E9">
        <w:trPr>
          <w:trHeight w:val="300"/>
        </w:trPr>
        <w:tc>
          <w:tcPr>
            <w:tcW w:w="699" w:type="dxa"/>
            <w:shd w:val="clear" w:color="auto" w:fill="auto"/>
            <w:noWrap/>
            <w:vAlign w:val="center"/>
            <w:hideMark/>
          </w:tcPr>
          <w:p w:rsid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 xml:space="preserve">Export </w:t>
            </w:r>
          </w:p>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 -&gt; B</w:t>
            </w:r>
          </w:p>
        </w:tc>
        <w:tc>
          <w:tcPr>
            <w:tcW w:w="778"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CIF</w:t>
            </w:r>
          </w:p>
        </w:tc>
        <w:tc>
          <w:tcPr>
            <w:tcW w:w="781"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B</w:t>
            </w:r>
          </w:p>
        </w:tc>
        <w:tc>
          <w:tcPr>
            <w:tcW w:w="851"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 -&gt; B: 110</w:t>
            </w:r>
          </w:p>
        </w:tc>
        <w:tc>
          <w:tcPr>
            <w:tcW w:w="850"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 &lt;- B: 10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110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100</w:t>
            </w:r>
          </w:p>
        </w:tc>
        <w:tc>
          <w:tcPr>
            <w:tcW w:w="708"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w:t>
            </w:r>
          </w:p>
        </w:tc>
        <w:tc>
          <w:tcPr>
            <w:tcW w:w="63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110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100</w:t>
            </w:r>
          </w:p>
        </w:tc>
      </w:tr>
      <w:tr w:rsidR="00F74D86" w:rsidRPr="00F74D86" w:rsidTr="004802E9">
        <w:trPr>
          <w:trHeight w:val="300"/>
        </w:trPr>
        <w:tc>
          <w:tcPr>
            <w:tcW w:w="699" w:type="dxa"/>
            <w:shd w:val="clear" w:color="auto" w:fill="auto"/>
            <w:noWrap/>
            <w:vAlign w:val="center"/>
            <w:hideMark/>
          </w:tcPr>
          <w:p w:rsid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 xml:space="preserve">Export </w:t>
            </w:r>
          </w:p>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 -&gt; B</w:t>
            </w:r>
          </w:p>
        </w:tc>
        <w:tc>
          <w:tcPr>
            <w:tcW w:w="778"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FOB</w:t>
            </w:r>
          </w:p>
        </w:tc>
        <w:tc>
          <w:tcPr>
            <w:tcW w:w="781"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w:t>
            </w:r>
          </w:p>
        </w:tc>
        <w:tc>
          <w:tcPr>
            <w:tcW w:w="851"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 -&gt; B: 100</w:t>
            </w:r>
          </w:p>
        </w:tc>
        <w:tc>
          <w:tcPr>
            <w:tcW w:w="850"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Pr>
                <w:rFonts w:ascii="Calibri" w:hAnsi="Calibri"/>
                <w:color w:val="000000"/>
                <w:sz w:val="16"/>
                <w:szCs w:val="16"/>
              </w:rPr>
              <w:t xml:space="preserve">A </w:t>
            </w:r>
            <w:r w:rsidRPr="00F74D86">
              <w:rPr>
                <w:rFonts w:ascii="Calibri" w:hAnsi="Calibri"/>
                <w:color w:val="000000"/>
                <w:sz w:val="16"/>
                <w:szCs w:val="16"/>
              </w:rPr>
              <w:t>-</w:t>
            </w:r>
            <w:r>
              <w:rPr>
                <w:rFonts w:ascii="Calibri" w:hAnsi="Calibri"/>
                <w:color w:val="000000"/>
                <w:sz w:val="16"/>
                <w:szCs w:val="16"/>
              </w:rPr>
              <w:t>&gt;</w:t>
            </w:r>
            <w:r w:rsidRPr="00F74D86">
              <w:rPr>
                <w:rFonts w:ascii="Calibri" w:hAnsi="Calibri"/>
                <w:color w:val="000000"/>
                <w:sz w:val="16"/>
                <w:szCs w:val="16"/>
              </w:rPr>
              <w:t xml:space="preserve"> B: 10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110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110</w:t>
            </w:r>
          </w:p>
        </w:tc>
        <w:tc>
          <w:tcPr>
            <w:tcW w:w="708"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0</w:t>
            </w:r>
          </w:p>
        </w:tc>
        <w:tc>
          <w:tcPr>
            <w:tcW w:w="63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110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110</w:t>
            </w:r>
          </w:p>
        </w:tc>
      </w:tr>
      <w:tr w:rsidR="00F74D86" w:rsidRPr="00F74D86" w:rsidTr="004802E9">
        <w:trPr>
          <w:trHeight w:val="300"/>
        </w:trPr>
        <w:tc>
          <w:tcPr>
            <w:tcW w:w="699" w:type="dxa"/>
            <w:shd w:val="clear" w:color="auto" w:fill="auto"/>
            <w:noWrap/>
            <w:vAlign w:val="center"/>
            <w:hideMark/>
          </w:tcPr>
          <w:p w:rsid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 xml:space="preserve">Export </w:t>
            </w:r>
          </w:p>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 -&gt; B</w:t>
            </w:r>
          </w:p>
        </w:tc>
        <w:tc>
          <w:tcPr>
            <w:tcW w:w="778"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FOB</w:t>
            </w:r>
          </w:p>
        </w:tc>
        <w:tc>
          <w:tcPr>
            <w:tcW w:w="781"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B</w:t>
            </w:r>
          </w:p>
        </w:tc>
        <w:tc>
          <w:tcPr>
            <w:tcW w:w="851"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A -&gt; B: 100</w:t>
            </w:r>
          </w:p>
        </w:tc>
        <w:tc>
          <w:tcPr>
            <w:tcW w:w="850" w:type="dxa"/>
            <w:shd w:val="clear" w:color="auto" w:fill="auto"/>
            <w:noWrap/>
            <w:vAlign w:val="center"/>
            <w:hideMark/>
          </w:tcPr>
          <w:p w:rsidR="00F74D86" w:rsidRPr="00F74D86" w:rsidRDefault="00F74D86" w:rsidP="00F74D86">
            <w:pPr>
              <w:spacing w:line="240" w:lineRule="auto"/>
              <w:jc w:val="left"/>
              <w:rPr>
                <w:rFonts w:ascii="Calibri" w:hAnsi="Calibri"/>
                <w:color w:val="000000"/>
                <w:sz w:val="16"/>
                <w:szCs w:val="16"/>
              </w:rPr>
            </w:pPr>
            <w:r w:rsidRPr="00F74D86">
              <w:rPr>
                <w:rFonts w:ascii="Calibri" w:hAnsi="Calibri"/>
                <w:color w:val="000000"/>
                <w:sz w:val="16"/>
                <w:szCs w:val="16"/>
              </w:rPr>
              <w:t>B - &gt; B: 10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100</w:t>
            </w:r>
          </w:p>
        </w:tc>
        <w:tc>
          <w:tcPr>
            <w:tcW w:w="708"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100</w:t>
            </w:r>
          </w:p>
        </w:tc>
        <w:tc>
          <w:tcPr>
            <w:tcW w:w="709"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0</w:t>
            </w:r>
          </w:p>
        </w:tc>
        <w:tc>
          <w:tcPr>
            <w:tcW w:w="63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0</w:t>
            </w:r>
          </w:p>
        </w:tc>
        <w:tc>
          <w:tcPr>
            <w:tcW w:w="740" w:type="dxa"/>
            <w:shd w:val="clear" w:color="auto" w:fill="auto"/>
            <w:noWrap/>
            <w:vAlign w:val="center"/>
            <w:hideMark/>
          </w:tcPr>
          <w:p w:rsidR="00F74D86" w:rsidRPr="00F74D86" w:rsidRDefault="00F74D86" w:rsidP="00F74D86">
            <w:pPr>
              <w:spacing w:line="240" w:lineRule="auto"/>
              <w:jc w:val="right"/>
              <w:rPr>
                <w:rFonts w:ascii="Calibri" w:hAnsi="Calibri"/>
                <w:color w:val="000000"/>
                <w:sz w:val="16"/>
                <w:szCs w:val="16"/>
              </w:rPr>
            </w:pPr>
            <w:r w:rsidRPr="00F74D86">
              <w:rPr>
                <w:rFonts w:ascii="Calibri" w:hAnsi="Calibri"/>
                <w:color w:val="000000"/>
                <w:sz w:val="16"/>
                <w:szCs w:val="16"/>
              </w:rPr>
              <w:t>100</w:t>
            </w:r>
          </w:p>
        </w:tc>
      </w:tr>
    </w:tbl>
    <w:p w:rsidR="00FA674F" w:rsidRDefault="00FA674F" w:rsidP="00051C44">
      <w:pPr>
        <w:rPr>
          <w:lang w:val="en-US"/>
        </w:rPr>
      </w:pPr>
    </w:p>
    <w:p w:rsidR="00E1517A" w:rsidRPr="00BF72FE" w:rsidRDefault="007F4B8F" w:rsidP="00461940">
      <w:pPr>
        <w:rPr>
          <w:lang w:val="en-US"/>
        </w:rPr>
      </w:pPr>
      <w:r>
        <w:rPr>
          <w:lang w:val="en-US"/>
        </w:rPr>
        <w:t xml:space="preserve">As it can be seen in the tables, </w:t>
      </w:r>
      <w:r w:rsidR="006C03B1">
        <w:rPr>
          <w:lang w:val="en-US"/>
        </w:rPr>
        <w:t>estimations</w:t>
      </w:r>
      <w:r w:rsidR="00502A74">
        <w:rPr>
          <w:lang w:val="en-US"/>
        </w:rPr>
        <w:t xml:space="preserve"> based on invoice value ensure</w:t>
      </w:r>
      <w:r>
        <w:rPr>
          <w:lang w:val="en-US"/>
        </w:rPr>
        <w:t xml:space="preserve"> that the net import/export in statistics always corresponds to the net money flow. It should be noted that this solutions is not fully in </w:t>
      </w:r>
      <w:r>
        <w:rPr>
          <w:lang w:val="en-US"/>
        </w:rPr>
        <w:lastRenderedPageBreak/>
        <w:t xml:space="preserve">line with BPM6, as BPM6 requires BoP </w:t>
      </w:r>
      <w:r w:rsidR="006C03B1">
        <w:rPr>
          <w:lang w:val="en-US"/>
        </w:rPr>
        <w:t>estimations</w:t>
      </w:r>
      <w:r>
        <w:rPr>
          <w:lang w:val="en-US"/>
        </w:rPr>
        <w:t xml:space="preserve"> to be calculated as CIF – FOB. </w:t>
      </w:r>
      <w:r w:rsidR="008A62F6">
        <w:rPr>
          <w:lang w:val="en-US"/>
        </w:rPr>
        <w:t>However, there are indications that the upcoming BPM7 might apply an invoic</w:t>
      </w:r>
      <w:r w:rsidR="006C03B1">
        <w:rPr>
          <w:lang w:val="en-US"/>
        </w:rPr>
        <w:t>e based principle to the BoP estimations</w:t>
      </w:r>
      <w:r w:rsidR="008A62F6">
        <w:rPr>
          <w:lang w:val="en-US"/>
        </w:rPr>
        <w:t>.</w:t>
      </w:r>
    </w:p>
    <w:sectPr w:rsidR="00E1517A" w:rsidRPr="00BF72FE" w:rsidSect="00A7427F">
      <w:headerReference w:type="default" r:id="rId12"/>
      <w:footerReference w:type="default" r:id="rId13"/>
      <w:type w:val="continuous"/>
      <w:pgSz w:w="11906" w:h="16838" w:code="9"/>
      <w:pgMar w:top="1701" w:right="1134" w:bottom="170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C2" w:rsidRDefault="00973DC2" w:rsidP="00E816D9">
      <w:r>
        <w:separator/>
      </w:r>
    </w:p>
  </w:endnote>
  <w:endnote w:type="continuationSeparator" w:id="0">
    <w:p w:rsidR="00973DC2" w:rsidRDefault="00973DC2"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69313"/>
      <w:docPartObj>
        <w:docPartGallery w:val="Page Numbers (Bottom of Page)"/>
        <w:docPartUnique/>
      </w:docPartObj>
    </w:sdtPr>
    <w:sdtEndPr/>
    <w:sdtContent>
      <w:p w:rsidR="007F4B8F" w:rsidRDefault="007F4B8F">
        <w:pPr>
          <w:pStyle w:val="Sidefod"/>
          <w:jc w:val="right"/>
        </w:pPr>
        <w:r>
          <w:fldChar w:fldCharType="begin"/>
        </w:r>
        <w:r>
          <w:instrText>PAGE   \* MERGEFORMAT</w:instrText>
        </w:r>
        <w:r>
          <w:fldChar w:fldCharType="separate"/>
        </w:r>
        <w:r w:rsidR="00DB7CF6">
          <w:rPr>
            <w:noProof/>
          </w:rPr>
          <w:t>1</w:t>
        </w:r>
        <w:r>
          <w:fldChar w:fldCharType="end"/>
        </w:r>
        <w:r>
          <w:t>/</w:t>
        </w:r>
        <w:r>
          <w:fldChar w:fldCharType="begin"/>
        </w:r>
        <w:r>
          <w:instrText xml:space="preserve"> NUMPAGES  \# "0"  \* MERGEFORMAT </w:instrText>
        </w:r>
        <w:r>
          <w:fldChar w:fldCharType="separate"/>
        </w:r>
        <w:r w:rsidR="00DB7CF6">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31307"/>
      <w:docPartObj>
        <w:docPartGallery w:val="Page Numbers (Bottom of Page)"/>
        <w:docPartUnique/>
      </w:docPartObj>
    </w:sdtPr>
    <w:sdtEndPr/>
    <w:sdtContent>
      <w:p w:rsidR="007F4B8F" w:rsidRDefault="007F4B8F" w:rsidP="007F4B8F">
        <w:pPr>
          <w:pStyle w:val="Sidefod"/>
          <w:jc w:val="right"/>
        </w:pPr>
        <w:r>
          <w:fldChar w:fldCharType="begin"/>
        </w:r>
        <w:r>
          <w:instrText>PAGE   \* MERGEFORMAT</w:instrText>
        </w:r>
        <w:r>
          <w:fldChar w:fldCharType="separate"/>
        </w:r>
        <w:r>
          <w:rPr>
            <w:noProof/>
          </w:rPr>
          <w:t>1</w:t>
        </w:r>
        <w:r>
          <w:fldChar w:fldCharType="end"/>
        </w:r>
        <w:r>
          <w:t>/</w:t>
        </w:r>
        <w:r w:rsidR="00DB7CF6">
          <w:fldChar w:fldCharType="begin"/>
        </w:r>
        <w:r w:rsidR="00DB7CF6">
          <w:instrText xml:space="preserve"> NUMPAGES   \* MERGEFORMAT </w:instrText>
        </w:r>
        <w:r w:rsidR="00DB7CF6">
          <w:fldChar w:fldCharType="separate"/>
        </w:r>
        <w:r>
          <w:rPr>
            <w:noProof/>
          </w:rPr>
          <w:t>1</w:t>
        </w:r>
        <w:r w:rsidR="00DB7CF6">
          <w:rPr>
            <w:noProof/>
          </w:rPr>
          <w:fldChar w:fldCharType="end"/>
        </w:r>
      </w:p>
    </w:sdtContent>
  </w:sdt>
  <w:p w:rsidR="007F4B8F" w:rsidRDefault="007F4B8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B8F" w:rsidRDefault="00DB7CF6" w:rsidP="00EC48A1">
    <w:pPr>
      <w:pStyle w:val="Sidefod"/>
      <w:ind w:firstLine="1304"/>
      <w:jc w:val="right"/>
    </w:pPr>
    <w:sdt>
      <w:sdtPr>
        <w:id w:val="-587381497"/>
        <w:docPartObj>
          <w:docPartGallery w:val="Page Numbers (Bottom of Page)"/>
          <w:docPartUnique/>
        </w:docPartObj>
      </w:sdtPr>
      <w:sdtEndPr>
        <w:rPr>
          <w:noProof/>
        </w:rPr>
      </w:sdtEndPr>
      <w:sdtContent>
        <w:r w:rsidR="007F4B8F">
          <w:fldChar w:fldCharType="begin"/>
        </w:r>
        <w:r w:rsidR="007F4B8F">
          <w:instrText xml:space="preserve"> PAGE   \* MERGEFORMAT </w:instrText>
        </w:r>
        <w:r w:rsidR="007F4B8F">
          <w:fldChar w:fldCharType="separate"/>
        </w:r>
        <w:r>
          <w:rPr>
            <w:noProof/>
          </w:rPr>
          <w:t>3</w:t>
        </w:r>
        <w:r w:rsidR="007F4B8F">
          <w:rPr>
            <w:noProof/>
          </w:rPr>
          <w:fldChar w:fldCharType="end"/>
        </w:r>
        <w:r w:rsidR="007F4B8F">
          <w:rPr>
            <w:noProof/>
          </w:rPr>
          <w:t>/</w:t>
        </w:r>
      </w:sdtContent>
    </w:sdt>
    <w:r w:rsidR="007F4B8F">
      <w:fldChar w:fldCharType="begin"/>
    </w:r>
    <w:r w:rsidR="007F4B8F">
      <w:instrText xml:space="preserve"> NUMPAGES   \* MERGEFORMAT </w:instrText>
    </w:r>
    <w:r w:rsidR="007F4B8F">
      <w:fldChar w:fldCharType="separate"/>
    </w:r>
    <w:r>
      <w:rPr>
        <w:noProof/>
      </w:rPr>
      <w:t>6</w:t>
    </w:r>
    <w:r w:rsidR="007F4B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C2" w:rsidRDefault="00973DC2" w:rsidP="00E816D9">
      <w:r>
        <w:separator/>
      </w:r>
    </w:p>
  </w:footnote>
  <w:footnote w:type="continuationSeparator" w:id="0">
    <w:p w:rsidR="00973DC2" w:rsidRDefault="00973DC2" w:rsidP="00E8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B8F" w:rsidRDefault="007F4B8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3" w15:restartNumberingAfterBreak="0">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B3"/>
    <w:rsid w:val="00003C4C"/>
    <w:rsid w:val="0001253D"/>
    <w:rsid w:val="00030040"/>
    <w:rsid w:val="00036441"/>
    <w:rsid w:val="00042F7F"/>
    <w:rsid w:val="0005162C"/>
    <w:rsid w:val="00051963"/>
    <w:rsid w:val="00051C44"/>
    <w:rsid w:val="000553B1"/>
    <w:rsid w:val="00056AEA"/>
    <w:rsid w:val="00065CAA"/>
    <w:rsid w:val="00066A92"/>
    <w:rsid w:val="000B068C"/>
    <w:rsid w:val="000B7DE5"/>
    <w:rsid w:val="000C0111"/>
    <w:rsid w:val="000E31F1"/>
    <w:rsid w:val="000E408D"/>
    <w:rsid w:val="000F225A"/>
    <w:rsid w:val="00126A89"/>
    <w:rsid w:val="00135440"/>
    <w:rsid w:val="001543D7"/>
    <w:rsid w:val="001A24CC"/>
    <w:rsid w:val="001A30A6"/>
    <w:rsid w:val="001B0C38"/>
    <w:rsid w:val="001B1BDD"/>
    <w:rsid w:val="001B4499"/>
    <w:rsid w:val="001C42BD"/>
    <w:rsid w:val="001E11B9"/>
    <w:rsid w:val="001E2EB1"/>
    <w:rsid w:val="00204C0E"/>
    <w:rsid w:val="00216E61"/>
    <w:rsid w:val="00247266"/>
    <w:rsid w:val="002544EF"/>
    <w:rsid w:val="002628D0"/>
    <w:rsid w:val="00277EEC"/>
    <w:rsid w:val="00284AF0"/>
    <w:rsid w:val="00292888"/>
    <w:rsid w:val="00294654"/>
    <w:rsid w:val="002955AB"/>
    <w:rsid w:val="002A1914"/>
    <w:rsid w:val="002A1C51"/>
    <w:rsid w:val="002C07BE"/>
    <w:rsid w:val="002E5441"/>
    <w:rsid w:val="002E70D1"/>
    <w:rsid w:val="002F0881"/>
    <w:rsid w:val="00304207"/>
    <w:rsid w:val="003268E9"/>
    <w:rsid w:val="00332DE5"/>
    <w:rsid w:val="00333025"/>
    <w:rsid w:val="00335E65"/>
    <w:rsid w:val="003510E8"/>
    <w:rsid w:val="00353326"/>
    <w:rsid w:val="00372B38"/>
    <w:rsid w:val="00385AA7"/>
    <w:rsid w:val="00390B6C"/>
    <w:rsid w:val="00392C71"/>
    <w:rsid w:val="003B1BD3"/>
    <w:rsid w:val="003B2F02"/>
    <w:rsid w:val="003B5502"/>
    <w:rsid w:val="003C5D0C"/>
    <w:rsid w:val="003C7A71"/>
    <w:rsid w:val="003E0228"/>
    <w:rsid w:val="003F6296"/>
    <w:rsid w:val="004029D3"/>
    <w:rsid w:val="00405A07"/>
    <w:rsid w:val="004079D8"/>
    <w:rsid w:val="00426D92"/>
    <w:rsid w:val="00435850"/>
    <w:rsid w:val="00454B1B"/>
    <w:rsid w:val="00461940"/>
    <w:rsid w:val="004632B2"/>
    <w:rsid w:val="00477A47"/>
    <w:rsid w:val="004802E9"/>
    <w:rsid w:val="00481D53"/>
    <w:rsid w:val="004874BA"/>
    <w:rsid w:val="00492D83"/>
    <w:rsid w:val="0049739B"/>
    <w:rsid w:val="004B589E"/>
    <w:rsid w:val="004C5FDA"/>
    <w:rsid w:val="004C7ECB"/>
    <w:rsid w:val="004D2180"/>
    <w:rsid w:val="004D3DE5"/>
    <w:rsid w:val="004E26B6"/>
    <w:rsid w:val="00502A74"/>
    <w:rsid w:val="00514ECC"/>
    <w:rsid w:val="00515E91"/>
    <w:rsid w:val="005213FF"/>
    <w:rsid w:val="00546669"/>
    <w:rsid w:val="0056349C"/>
    <w:rsid w:val="00564D4E"/>
    <w:rsid w:val="005721F1"/>
    <w:rsid w:val="0058085A"/>
    <w:rsid w:val="005929C2"/>
    <w:rsid w:val="005A3E0D"/>
    <w:rsid w:val="005D4FAF"/>
    <w:rsid w:val="005E7ED1"/>
    <w:rsid w:val="00611F38"/>
    <w:rsid w:val="00630C09"/>
    <w:rsid w:val="00647B65"/>
    <w:rsid w:val="00653C8E"/>
    <w:rsid w:val="00666874"/>
    <w:rsid w:val="00673F98"/>
    <w:rsid w:val="00675689"/>
    <w:rsid w:val="006809C7"/>
    <w:rsid w:val="00683F9B"/>
    <w:rsid w:val="00684445"/>
    <w:rsid w:val="00685FC9"/>
    <w:rsid w:val="00690995"/>
    <w:rsid w:val="006914C1"/>
    <w:rsid w:val="006A106D"/>
    <w:rsid w:val="006B2AC1"/>
    <w:rsid w:val="006C03B1"/>
    <w:rsid w:val="006D07BF"/>
    <w:rsid w:val="006E1D53"/>
    <w:rsid w:val="006F5DF0"/>
    <w:rsid w:val="0070043C"/>
    <w:rsid w:val="007270EB"/>
    <w:rsid w:val="0074369F"/>
    <w:rsid w:val="00750A32"/>
    <w:rsid w:val="00754399"/>
    <w:rsid w:val="00774545"/>
    <w:rsid w:val="007840D5"/>
    <w:rsid w:val="00784C8C"/>
    <w:rsid w:val="007911EB"/>
    <w:rsid w:val="007935B6"/>
    <w:rsid w:val="007938EE"/>
    <w:rsid w:val="0079594D"/>
    <w:rsid w:val="007A2785"/>
    <w:rsid w:val="007A5080"/>
    <w:rsid w:val="007A6CCD"/>
    <w:rsid w:val="007D2D47"/>
    <w:rsid w:val="007F4B8F"/>
    <w:rsid w:val="00806FB3"/>
    <w:rsid w:val="008213CA"/>
    <w:rsid w:val="00826C04"/>
    <w:rsid w:val="008545ED"/>
    <w:rsid w:val="008652A6"/>
    <w:rsid w:val="00880B4A"/>
    <w:rsid w:val="0088741C"/>
    <w:rsid w:val="00891E5D"/>
    <w:rsid w:val="008A62F6"/>
    <w:rsid w:val="008B1D85"/>
    <w:rsid w:val="008B404D"/>
    <w:rsid w:val="008D066B"/>
    <w:rsid w:val="008D5ED5"/>
    <w:rsid w:val="008F7072"/>
    <w:rsid w:val="009074F0"/>
    <w:rsid w:val="00907BD2"/>
    <w:rsid w:val="00970076"/>
    <w:rsid w:val="00973DC2"/>
    <w:rsid w:val="009835E4"/>
    <w:rsid w:val="00990050"/>
    <w:rsid w:val="009A027A"/>
    <w:rsid w:val="009C0FE0"/>
    <w:rsid w:val="009C3AD7"/>
    <w:rsid w:val="009D5054"/>
    <w:rsid w:val="009F4ED4"/>
    <w:rsid w:val="009F78B2"/>
    <w:rsid w:val="00A15D15"/>
    <w:rsid w:val="00A31CC2"/>
    <w:rsid w:val="00A53FE8"/>
    <w:rsid w:val="00A708E8"/>
    <w:rsid w:val="00A7427F"/>
    <w:rsid w:val="00A82AAE"/>
    <w:rsid w:val="00A83473"/>
    <w:rsid w:val="00AA387B"/>
    <w:rsid w:val="00AC41D4"/>
    <w:rsid w:val="00AD324A"/>
    <w:rsid w:val="00AE66A8"/>
    <w:rsid w:val="00AF664E"/>
    <w:rsid w:val="00B03420"/>
    <w:rsid w:val="00B142E7"/>
    <w:rsid w:val="00B204F0"/>
    <w:rsid w:val="00B32D89"/>
    <w:rsid w:val="00B630E6"/>
    <w:rsid w:val="00B71DD2"/>
    <w:rsid w:val="00B801F8"/>
    <w:rsid w:val="00BC1DAC"/>
    <w:rsid w:val="00BC488C"/>
    <w:rsid w:val="00BC5A19"/>
    <w:rsid w:val="00BD57FB"/>
    <w:rsid w:val="00BD77BA"/>
    <w:rsid w:val="00BE01EB"/>
    <w:rsid w:val="00BF72FE"/>
    <w:rsid w:val="00C07C5A"/>
    <w:rsid w:val="00C310A9"/>
    <w:rsid w:val="00C378E7"/>
    <w:rsid w:val="00C4394F"/>
    <w:rsid w:val="00C539EC"/>
    <w:rsid w:val="00C66B51"/>
    <w:rsid w:val="00C66CE5"/>
    <w:rsid w:val="00C71B95"/>
    <w:rsid w:val="00C8165A"/>
    <w:rsid w:val="00C87C60"/>
    <w:rsid w:val="00CA0C8E"/>
    <w:rsid w:val="00CC1F53"/>
    <w:rsid w:val="00CC36D8"/>
    <w:rsid w:val="00CC6BBC"/>
    <w:rsid w:val="00CF4972"/>
    <w:rsid w:val="00CF54D3"/>
    <w:rsid w:val="00D0458B"/>
    <w:rsid w:val="00D2287A"/>
    <w:rsid w:val="00D35EBF"/>
    <w:rsid w:val="00D548E5"/>
    <w:rsid w:val="00D556A0"/>
    <w:rsid w:val="00D63BA8"/>
    <w:rsid w:val="00D64D4D"/>
    <w:rsid w:val="00D720BF"/>
    <w:rsid w:val="00DA1CC7"/>
    <w:rsid w:val="00DA5D56"/>
    <w:rsid w:val="00DB7CF6"/>
    <w:rsid w:val="00DB7FBB"/>
    <w:rsid w:val="00DC1F87"/>
    <w:rsid w:val="00DE20A2"/>
    <w:rsid w:val="00DE30C6"/>
    <w:rsid w:val="00DE6039"/>
    <w:rsid w:val="00E03B11"/>
    <w:rsid w:val="00E1517A"/>
    <w:rsid w:val="00E30C6A"/>
    <w:rsid w:val="00E50A9C"/>
    <w:rsid w:val="00E51C08"/>
    <w:rsid w:val="00E816D9"/>
    <w:rsid w:val="00EA4B4C"/>
    <w:rsid w:val="00EC38F1"/>
    <w:rsid w:val="00EC48A1"/>
    <w:rsid w:val="00ED2756"/>
    <w:rsid w:val="00EE0EFD"/>
    <w:rsid w:val="00F06739"/>
    <w:rsid w:val="00F10312"/>
    <w:rsid w:val="00F21531"/>
    <w:rsid w:val="00F30D53"/>
    <w:rsid w:val="00F55201"/>
    <w:rsid w:val="00F557CE"/>
    <w:rsid w:val="00F55E86"/>
    <w:rsid w:val="00F729E1"/>
    <w:rsid w:val="00F74D86"/>
    <w:rsid w:val="00F75E10"/>
    <w:rsid w:val="00F77576"/>
    <w:rsid w:val="00F862CA"/>
    <w:rsid w:val="00F96AD0"/>
    <w:rsid w:val="00FA043C"/>
    <w:rsid w:val="00FA674F"/>
    <w:rsid w:val="00FB7F6A"/>
    <w:rsid w:val="00FC750C"/>
    <w:rsid w:val="00FD0082"/>
    <w:rsid w:val="00FD3E7B"/>
    <w:rsid w:val="00FD586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BAB07"/>
  <w15:docId w15:val="{C4CD06BB-C7F0-4C2A-AB87-186F3384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477A47"/>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line="240" w:lineRule="auto"/>
      <w:jc w:val="left"/>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543D7"/>
    <w:pPr>
      <w:spacing w:before="100" w:beforeAutospacing="1" w:after="100" w:afterAutospacing="1" w:line="240" w:lineRule="auto"/>
      <w:jc w:val="left"/>
    </w:pPr>
    <w:rPr>
      <w:rFonts w:ascii="Times New Roman" w:eastAsiaTheme="minorEastAsia" w:hAnsi="Times New Roman"/>
      <w:sz w:val="24"/>
    </w:rPr>
  </w:style>
  <w:style w:type="character" w:styleId="Kommentarhenvisning">
    <w:name w:val="annotation reference"/>
    <w:basedOn w:val="Standardskrifttypeiafsnit"/>
    <w:uiPriority w:val="99"/>
    <w:semiHidden/>
    <w:unhideWhenUsed/>
    <w:rsid w:val="00C378E7"/>
    <w:rPr>
      <w:sz w:val="16"/>
      <w:szCs w:val="16"/>
    </w:rPr>
  </w:style>
  <w:style w:type="paragraph" w:styleId="Kommentartekst">
    <w:name w:val="annotation text"/>
    <w:basedOn w:val="Normal"/>
    <w:link w:val="KommentartekstTegn"/>
    <w:uiPriority w:val="99"/>
    <w:semiHidden/>
    <w:unhideWhenUsed/>
    <w:rsid w:val="00C378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378E7"/>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C378E7"/>
    <w:rPr>
      <w:b/>
      <w:bCs/>
    </w:rPr>
  </w:style>
  <w:style w:type="character" w:customStyle="1" w:styleId="KommentaremneTegn">
    <w:name w:val="Kommentaremne Tegn"/>
    <w:basedOn w:val="KommentartekstTegn"/>
    <w:link w:val="Kommentaremne"/>
    <w:uiPriority w:val="99"/>
    <w:semiHidden/>
    <w:rsid w:val="00C378E7"/>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5847">
      <w:bodyDiv w:val="1"/>
      <w:marLeft w:val="0"/>
      <w:marRight w:val="0"/>
      <w:marTop w:val="0"/>
      <w:marBottom w:val="0"/>
      <w:divBdr>
        <w:top w:val="none" w:sz="0" w:space="0" w:color="auto"/>
        <w:left w:val="none" w:sz="0" w:space="0" w:color="auto"/>
        <w:bottom w:val="none" w:sz="0" w:space="0" w:color="auto"/>
        <w:right w:val="none" w:sz="0" w:space="0" w:color="auto"/>
      </w:divBdr>
    </w:div>
    <w:div w:id="181091778">
      <w:bodyDiv w:val="1"/>
      <w:marLeft w:val="0"/>
      <w:marRight w:val="0"/>
      <w:marTop w:val="0"/>
      <w:marBottom w:val="0"/>
      <w:divBdr>
        <w:top w:val="none" w:sz="0" w:space="0" w:color="auto"/>
        <w:left w:val="none" w:sz="0" w:space="0" w:color="auto"/>
        <w:bottom w:val="none" w:sz="0" w:space="0" w:color="auto"/>
        <w:right w:val="none" w:sz="0" w:space="0" w:color="auto"/>
      </w:divBdr>
    </w:div>
    <w:div w:id="673339783">
      <w:bodyDiv w:val="1"/>
      <w:marLeft w:val="0"/>
      <w:marRight w:val="0"/>
      <w:marTop w:val="0"/>
      <w:marBottom w:val="0"/>
      <w:divBdr>
        <w:top w:val="none" w:sz="0" w:space="0" w:color="auto"/>
        <w:left w:val="none" w:sz="0" w:space="0" w:color="auto"/>
        <w:bottom w:val="none" w:sz="0" w:space="0" w:color="auto"/>
        <w:right w:val="none" w:sz="0" w:space="0" w:color="auto"/>
      </w:divBdr>
    </w:div>
    <w:div w:id="843782093">
      <w:bodyDiv w:val="1"/>
      <w:marLeft w:val="0"/>
      <w:marRight w:val="0"/>
      <w:marTop w:val="0"/>
      <w:marBottom w:val="0"/>
      <w:divBdr>
        <w:top w:val="none" w:sz="0" w:space="0" w:color="auto"/>
        <w:left w:val="none" w:sz="0" w:space="0" w:color="auto"/>
        <w:bottom w:val="none" w:sz="0" w:space="0" w:color="auto"/>
        <w:right w:val="none" w:sz="0" w:space="0" w:color="auto"/>
      </w:divBdr>
    </w:div>
    <w:div w:id="1125002103">
      <w:bodyDiv w:val="1"/>
      <w:marLeft w:val="0"/>
      <w:marRight w:val="0"/>
      <w:marTop w:val="0"/>
      <w:marBottom w:val="0"/>
      <w:divBdr>
        <w:top w:val="none" w:sz="0" w:space="0" w:color="auto"/>
        <w:left w:val="none" w:sz="0" w:space="0" w:color="auto"/>
        <w:bottom w:val="none" w:sz="0" w:space="0" w:color="auto"/>
        <w:right w:val="none" w:sz="0" w:space="0" w:color="auto"/>
      </w:divBdr>
    </w:div>
    <w:div w:id="1194923908">
      <w:bodyDiv w:val="1"/>
      <w:marLeft w:val="0"/>
      <w:marRight w:val="0"/>
      <w:marTop w:val="0"/>
      <w:marBottom w:val="0"/>
      <w:divBdr>
        <w:top w:val="none" w:sz="0" w:space="0" w:color="auto"/>
        <w:left w:val="none" w:sz="0" w:space="0" w:color="auto"/>
        <w:bottom w:val="none" w:sz="0" w:space="0" w:color="auto"/>
        <w:right w:val="none" w:sz="0" w:space="0" w:color="auto"/>
      </w:divBdr>
    </w:div>
    <w:div w:id="1548568504">
      <w:bodyDiv w:val="1"/>
      <w:marLeft w:val="0"/>
      <w:marRight w:val="0"/>
      <w:marTop w:val="0"/>
      <w:marBottom w:val="0"/>
      <w:divBdr>
        <w:top w:val="none" w:sz="0" w:space="0" w:color="auto"/>
        <w:left w:val="none" w:sz="0" w:space="0" w:color="auto"/>
        <w:bottom w:val="none" w:sz="0" w:space="0" w:color="auto"/>
        <w:right w:val="none" w:sz="0" w:space="0" w:color="auto"/>
      </w:divBdr>
    </w:div>
    <w:div w:id="1635594622">
      <w:bodyDiv w:val="1"/>
      <w:marLeft w:val="0"/>
      <w:marRight w:val="0"/>
      <w:marTop w:val="0"/>
      <w:marBottom w:val="0"/>
      <w:divBdr>
        <w:top w:val="none" w:sz="0" w:space="0" w:color="auto"/>
        <w:left w:val="none" w:sz="0" w:space="0" w:color="auto"/>
        <w:bottom w:val="none" w:sz="0" w:space="0" w:color="auto"/>
        <w:right w:val="none" w:sz="0" w:space="0" w:color="auto"/>
      </w:divBdr>
    </w:div>
    <w:div w:id="1909534050">
      <w:bodyDiv w:val="1"/>
      <w:marLeft w:val="0"/>
      <w:marRight w:val="0"/>
      <w:marTop w:val="0"/>
      <w:marBottom w:val="0"/>
      <w:divBdr>
        <w:top w:val="none" w:sz="0" w:space="0" w:color="auto"/>
        <w:left w:val="none" w:sz="0" w:space="0" w:color="auto"/>
        <w:bottom w:val="none" w:sz="0" w:space="0" w:color="auto"/>
        <w:right w:val="none" w:sz="0" w:space="0" w:color="auto"/>
      </w:divBdr>
    </w:div>
    <w:div w:id="1935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3FA65648CE4BBEB53B251A87174212"/>
        <w:category>
          <w:name w:val="Generelt"/>
          <w:gallery w:val="placeholder"/>
        </w:category>
        <w:types>
          <w:type w:val="bbPlcHdr"/>
        </w:types>
        <w:behaviors>
          <w:behavior w:val="content"/>
        </w:behaviors>
        <w:guid w:val="{74D135C2-37E9-4F4A-800B-0FC9B4316F2D}"/>
      </w:docPartPr>
      <w:docPartBody>
        <w:p w:rsidR="00FE1589" w:rsidRDefault="00FE1589">
          <w:pPr>
            <w:pStyle w:val="C43FA65648CE4BBEB53B251A87174212"/>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89"/>
    <w:rsid w:val="0054113F"/>
    <w:rsid w:val="00FE1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43FA65648CE4BBEB53B251A87174212">
    <w:name w:val="C43FA65648CE4BBEB53B251A87174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6CC13E22-D8C3-429F-9018-97FD641F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3</TotalTime>
  <Pages>6</Pages>
  <Words>2046</Words>
  <Characters>12485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Freight transport and insurance</vt:lpstr>
    </vt:vector>
  </TitlesOfParts>
  <Company>Danmarks Statistik</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 transport and insurance</dc:title>
  <dc:subject/>
  <dc:creator>SFB</dc:creator>
  <cp:keywords/>
  <dc:description/>
  <cp:lastModifiedBy>Stefan Anbro</cp:lastModifiedBy>
  <cp:revision>4</cp:revision>
  <dcterms:created xsi:type="dcterms:W3CDTF">2020-11-04T07:00:00Z</dcterms:created>
  <dcterms:modified xsi:type="dcterms:W3CDTF">2021-01-29T09:44:00Z</dcterms:modified>
</cp:coreProperties>
</file>