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025" w:rsidRDefault="00882025">
      <w:pPr>
        <w:pStyle w:val="Overskrift1"/>
      </w:pPr>
      <w:bookmarkStart w:id="0" w:name="_GoBack"/>
      <w:bookmarkEnd w:id="0"/>
      <w:r>
        <w:t>Statistikken for offentlige virksomheder</w:t>
      </w:r>
    </w:p>
    <w:p w:rsidR="00882025" w:rsidRDefault="00882025">
      <w:pPr>
        <w:pStyle w:val="Overskrift2"/>
      </w:pPr>
      <w:r>
        <w:t>Hvad viser statistikken</w:t>
      </w:r>
    </w:p>
    <w:p w:rsidR="00882025" w:rsidRDefault="00882025">
      <w:pPr>
        <w:pStyle w:val="Ledetekst"/>
        <w:framePr w:wrap="notBeside"/>
      </w:pPr>
      <w:r>
        <w:t xml:space="preserve">Statistik for offentlige </w:t>
      </w:r>
      <w:r w:rsidR="004557E8">
        <w:br/>
      </w:r>
      <w:r>
        <w:t>virksomheder</w:t>
      </w:r>
    </w:p>
    <w:p w:rsidR="00CA0EE3" w:rsidRDefault="00882025">
      <w:r>
        <w:t xml:space="preserve">Statistikken for offentlige virksomheder omfatter alle offentlige selskabslignende virksomheder og offentlige selskaber. </w:t>
      </w:r>
      <w:r>
        <w:rPr>
          <w:i/>
        </w:rPr>
        <w:t>De offentlige selskabslignende virksomheder</w:t>
      </w:r>
      <w:r>
        <w:t xml:space="preserve"> er offentlige institutioner, der drives på markedsmæssige vilkår</w:t>
      </w:r>
      <w:r w:rsidR="00A12FE9">
        <w:t>,</w:t>
      </w:r>
      <w:r>
        <w:t xml:space="preserve"> og hvis regnskaber kan udskilles fra stats- og kommuneregnskaberne. </w:t>
      </w:r>
      <w:r>
        <w:rPr>
          <w:i/>
        </w:rPr>
        <w:t>De offentlige selskaber</w:t>
      </w:r>
      <w:r>
        <w:t xml:space="preserve"> er privatretligt organiseret og ejes og/eller domineres af offentlige myndigheder. De offentlige virksomheder findes primært inden for forsynings- og transportvirksomhed. </w:t>
      </w:r>
    </w:p>
    <w:p w:rsidR="00CA0EE3" w:rsidRDefault="00CA0EE3"/>
    <w:p w:rsidR="00882025" w:rsidRDefault="00882025">
      <w:r>
        <w:t xml:space="preserve">De offentlige virksomheder adskiller sig fra offentlig forvaltning og service ved, at de producerer </w:t>
      </w:r>
      <w:r>
        <w:rPr>
          <w:i/>
        </w:rPr>
        <w:t>markedsmæssige</w:t>
      </w:r>
      <w:r>
        <w:t xml:space="preserve"> varer og tjenester, som afsættes på markedet, mens </w:t>
      </w:r>
      <w:r>
        <w:rPr>
          <w:i/>
        </w:rPr>
        <w:t>offentlig forvaltning og service</w:t>
      </w:r>
      <w:r>
        <w:t xml:space="preserve"> overvejende producerer </w:t>
      </w:r>
      <w:r w:rsidRPr="009E6147">
        <w:t>offentlige</w:t>
      </w:r>
      <w:r>
        <w:t xml:space="preserve"> (ikke-markedsmæssige) tjenesteydelser, som stilles til rådighed for andre dele af økonomien, enten gratis eller til priser, som ikke nødvendigvis dækker omkostningerne ved produktionen.</w:t>
      </w:r>
    </w:p>
    <w:p w:rsidR="00882025" w:rsidRDefault="00882025"/>
    <w:p w:rsidR="00882025" w:rsidRDefault="00882025">
      <w:pPr>
        <w:pStyle w:val="Ledetekst"/>
        <w:framePr w:wrap="notBeside" w:yAlign="inline"/>
      </w:pPr>
      <w:r>
        <w:t>Den samlede</w:t>
      </w:r>
      <w:r>
        <w:br/>
        <w:t>offentlige sektor</w:t>
      </w:r>
    </w:p>
    <w:p w:rsidR="00882025" w:rsidRDefault="00882025">
      <w:r>
        <w:t xml:space="preserve">Med denne statistik er det muligt at belyse de aktiviteter, der ejes/kontrolleres af det offentlige. Dermed kan det offentlige som økonomisk område </w:t>
      </w:r>
      <w:r w:rsidR="009E6147">
        <w:t>–</w:t>
      </w:r>
      <w:r>
        <w:t xml:space="preserve"> også kaldet </w:t>
      </w:r>
      <w:r>
        <w:rPr>
          <w:i/>
        </w:rPr>
        <w:t>den offentlige sektor</w:t>
      </w:r>
      <w:r>
        <w:t xml:space="preserve"> </w:t>
      </w:r>
      <w:r w:rsidR="009E6147">
        <w:t>–</w:t>
      </w:r>
      <w:r>
        <w:t xml:space="preserve"> vises. Den statistiske dækning af hele den offentlige sektor giver bedre mulighed for at opgøre omfanget af investeringer under direkte eller indirekte offentlig kontrol og belyse fx privatiseringer af offentlige virksomheder.</w:t>
      </w:r>
    </w:p>
    <w:p w:rsidR="00882025" w:rsidRDefault="00882025"/>
    <w:p w:rsidR="00882025" w:rsidRDefault="00882025">
      <w:r>
        <w:t>Første skridt i privatisering af en offentlig virksomhed vil som regel være en selskabsomdannelse, hvor virksomheden udskilles af stats- eller kommuneregnskaberne og omdannes til en egentlig privatretlig virksomhed. Virksomheden omklassificeres dermed fra gruppen af offentlige selskabslignende virksomheder til offentlige selskaber. Det sidste skridt i privatiseringen vil være at staten eller kommunerne sælger aktiemajoriteten i selskabet, hvorefter selskabet udgår af statistikken for den offentlige sektor.</w:t>
      </w:r>
    </w:p>
    <w:p w:rsidR="00882025" w:rsidRDefault="00882025"/>
    <w:p w:rsidR="00882025" w:rsidRDefault="00882025">
      <w:pPr>
        <w:pStyle w:val="Ledetekst"/>
        <w:framePr w:wrap="notBeside"/>
      </w:pPr>
      <w:r>
        <w:t>Branchefordelte</w:t>
      </w:r>
      <w:r>
        <w:br/>
        <w:t>nationalregnskabstal</w:t>
      </w:r>
    </w:p>
    <w:p w:rsidR="00882025" w:rsidRDefault="00882025">
      <w:r>
        <w:t>På grundlag af statistikken for de offentlige virksomheder kan endvidere dannes bl.a. produktions- og indkomstdannelseskonti fordelt på erhverv, dvs. produktion, værdi</w:t>
      </w:r>
      <w:r w:rsidR="00DB5B93">
        <w:softHyphen/>
      </w:r>
      <w:r>
        <w:t>tilvækst, bruttofaktorindkomst, bruttooverskud af produktion for udvalgte erhverv. På dette detaljeringsniveau kan statistikken yderligere opdeles på delelementerne: de offentlige selskabslignende virksomheder og offentlige selskaber. Figur 2 viser sammenhængen mellem offentlig forvaltning og service og den offentlige sektor.</w:t>
      </w:r>
      <w:bookmarkStart w:id="1" w:name="Brødtekst"/>
      <w:bookmarkEnd w:id="1"/>
    </w:p>
    <w:p w:rsidR="00B32D14" w:rsidRDefault="00B32D14">
      <w:pPr>
        <w:rPr>
          <w:sz w:val="12"/>
          <w:szCs w:val="12"/>
        </w:rPr>
      </w:pPr>
    </w:p>
    <w:p w:rsidR="00826938" w:rsidRDefault="00826938">
      <w:pPr>
        <w:overflowPunct/>
        <w:autoSpaceDE/>
        <w:autoSpaceDN/>
        <w:adjustRightInd/>
        <w:spacing w:line="240" w:lineRule="auto"/>
        <w:jc w:val="left"/>
        <w:textAlignment w:val="auto"/>
        <w:rPr>
          <w:sz w:val="12"/>
          <w:szCs w:val="12"/>
        </w:rPr>
      </w:pPr>
      <w:r>
        <w:rPr>
          <w:sz w:val="12"/>
          <w:szCs w:val="12"/>
        </w:rPr>
        <w:br w:type="page"/>
      </w:r>
    </w:p>
    <w:p w:rsidR="00826938" w:rsidRPr="00DD5956" w:rsidRDefault="00826938">
      <w:pPr>
        <w:rPr>
          <w:sz w:val="12"/>
          <w:szCs w:val="12"/>
        </w:rPr>
      </w:pPr>
    </w:p>
    <w:p w:rsidR="00882025" w:rsidRDefault="00882025" w:rsidP="008F67AD">
      <w:pPr>
        <w:pStyle w:val="Ledetekst"/>
        <w:framePr w:wrap="notBeside"/>
      </w:pPr>
      <w:r>
        <w:t>Figur 2</w:t>
      </w:r>
      <w:r w:rsidR="00351300">
        <w:t>.</w:t>
      </w:r>
    </w:p>
    <w:p w:rsidR="00882025" w:rsidRDefault="00882025">
      <w:pPr>
        <w:pStyle w:val="Tabeloverskrift"/>
      </w:pPr>
      <w:r>
        <w:t>Opdeling af økonomien ved sektorhenføring af det offentliges transaktioner</w:t>
      </w:r>
    </w:p>
    <w:bookmarkStart w:id="2" w:name="_952856304"/>
    <w:bookmarkEnd w:id="2"/>
    <w:bookmarkStart w:id="3" w:name="_MON_1448172677"/>
    <w:bookmarkEnd w:id="3"/>
    <w:p w:rsidR="00882025" w:rsidRDefault="0041007E">
      <w:r>
        <w:object w:dxaOrig="7370" w:dyaOrig="7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15pt;height:375.05pt" o:ole="">
            <v:imagedata r:id="rId8" o:title=""/>
          </v:shape>
          <o:OLEObject Type="Embed" ProgID="Excel.Sheet.8" ShapeID="_x0000_i1025" DrawAspect="Content" ObjectID="_1698218180" r:id="rId9"/>
        </w:object>
      </w:r>
    </w:p>
    <w:p w:rsidR="00882025" w:rsidRDefault="00882025">
      <w:pPr>
        <w:pStyle w:val="Overskrift2"/>
      </w:pPr>
      <w:r>
        <w:t>Afgrænsning</w:t>
      </w:r>
    </w:p>
    <w:p w:rsidR="00882025" w:rsidRDefault="00882025">
      <w:r>
        <w:t>I det følgende gennemgås de forskellige elementer, som indgår i den offentlige sek</w:t>
      </w:r>
      <w:r w:rsidR="00DB5B93">
        <w:softHyphen/>
      </w:r>
      <w:r>
        <w:t>tor, dvs. den institutionelle sektoropdeling, som det fremgår af ovennævnte figur 2.</w:t>
      </w:r>
    </w:p>
    <w:p w:rsidR="00882025" w:rsidRDefault="00882025"/>
    <w:p w:rsidR="00882025" w:rsidRDefault="00882025">
      <w:pPr>
        <w:pStyle w:val="Ledetekst"/>
        <w:framePr w:wrap="notBeside"/>
      </w:pPr>
      <w:r>
        <w:t xml:space="preserve">Offentlig forvaltning </w:t>
      </w:r>
      <w:r>
        <w:br/>
        <w:t>og service</w:t>
      </w:r>
    </w:p>
    <w:p w:rsidR="00882025" w:rsidRDefault="00882025">
      <w:r>
        <w:t>Hovedparten af de myndigheder og institutioner, som er omfattet af offentlig forvalt</w:t>
      </w:r>
      <w:r w:rsidR="00DB5B93">
        <w:softHyphen/>
      </w:r>
      <w:r>
        <w:t>ning og service, er integrerede (indarbejdede) i stat</w:t>
      </w:r>
      <w:r w:rsidR="001F6AC8">
        <w:t>ens</w:t>
      </w:r>
      <w:r>
        <w:t xml:space="preserve">, </w:t>
      </w:r>
      <w:r w:rsidR="001F6AC8">
        <w:t>regionernes</w:t>
      </w:r>
      <w:r>
        <w:t xml:space="preserve"> og kommun</w:t>
      </w:r>
      <w:r w:rsidR="001F6AC8">
        <w:t>ernes</w:t>
      </w:r>
      <w:r>
        <w:t xml:space="preserve"> regnskaber. De betegnes derfor </w:t>
      </w:r>
      <w:r>
        <w:rPr>
          <w:i/>
        </w:rPr>
        <w:t>integrerede offentlige institutioner</w:t>
      </w:r>
      <w:r>
        <w:t xml:space="preserve">. </w:t>
      </w:r>
    </w:p>
    <w:p w:rsidR="00882025" w:rsidRDefault="00882025"/>
    <w:p w:rsidR="00882025" w:rsidRDefault="00882025">
      <w:r>
        <w:t xml:space="preserve">En del offentlige institutioner er dog ikke integrerede i statens, </w:t>
      </w:r>
      <w:r w:rsidR="00C433BA">
        <w:t>regionernes</w:t>
      </w:r>
      <w:r>
        <w:t xml:space="preserve"> eller kom</w:t>
      </w:r>
      <w:r w:rsidR="00DB5B93">
        <w:softHyphen/>
      </w:r>
      <w:r>
        <w:t>munernes regnskaber, men har selvstændige regnskaber. Dette drejer sig i særdeles</w:t>
      </w:r>
      <w:r w:rsidR="00DB5B93">
        <w:softHyphen/>
      </w:r>
      <w:r>
        <w:t xml:space="preserve">hed om folkekirken og de sociale kasser og fonde og kaldes </w:t>
      </w:r>
      <w:r>
        <w:rPr>
          <w:i/>
        </w:rPr>
        <w:t>ikke-integrerede offentlige institutioner</w:t>
      </w:r>
      <w:r>
        <w:t>.</w:t>
      </w:r>
    </w:p>
    <w:p w:rsidR="00882025" w:rsidRDefault="00882025"/>
    <w:p w:rsidR="00882025" w:rsidRDefault="00882025">
      <w:r>
        <w:t>En del institutioner der producerer offentlige ydelser er formelt private med selvstæn</w:t>
      </w:r>
      <w:r w:rsidR="00DF7C6A">
        <w:softHyphen/>
      </w:r>
      <w:r>
        <w:t xml:space="preserve">dige regnskaber. Kriteriet for at de indgår i offentlig forvaltning og service er, at de for den overvejende dels vedkommende er finansieret vha. offentlige midler. Privatskoler, kulturinstitutioner o.l. er eksempler på disse formelt private, men reelt offentlige institutioner. Disse institutioner kaldes </w:t>
      </w:r>
      <w:r>
        <w:rPr>
          <w:i/>
        </w:rPr>
        <w:t>kvasi-offentlige institutioner</w:t>
      </w:r>
      <w:r>
        <w:t>.</w:t>
      </w:r>
    </w:p>
    <w:p w:rsidR="00882025" w:rsidRDefault="00882025"/>
    <w:p w:rsidR="00882025" w:rsidRDefault="00882025">
      <w:r>
        <w:t>Offentlig forvaltning og service omfatter endvidere en række offentlige driftsvirk</w:t>
      </w:r>
      <w:r w:rsidR="00DB5B93">
        <w:softHyphen/>
      </w:r>
      <w:r>
        <w:t xml:space="preserve">somheder, der optræder som hjælpevirksomheder eller bivirksomheder til produktion af offentlige ydelser. Disse virksomheder er regnskabsmæssigt integrerede offentlige institutioner, som producerer markedsmæssige varer og tjenester, men som </w:t>
      </w:r>
      <w:r>
        <w:lastRenderedPageBreak/>
        <w:t>enten pri</w:t>
      </w:r>
      <w:r w:rsidR="00DF7C6A">
        <w:softHyphen/>
      </w:r>
      <w:r>
        <w:t>mært leverer disse til det offentlige selv, til løbende brug i forbindelse med produk</w:t>
      </w:r>
      <w:r w:rsidR="00DB5B93">
        <w:softHyphen/>
      </w:r>
      <w:r>
        <w:t xml:space="preserve">tion af det kollektive forbrug eller, hvis de sælger til private, kun opererer i meget begrænset skala. Som eksempler på disse virksomheder kan nævnes </w:t>
      </w:r>
      <w:r w:rsidR="002219FB">
        <w:t>it</w:t>
      </w:r>
      <w:r>
        <w:t xml:space="preserve">-afdelinger, kantiner, museumsbutikker o.l. Aktiviteterne kan ofte findes i statsregnskabet under indtægtsdækket virksomhed. </w:t>
      </w:r>
    </w:p>
    <w:p w:rsidR="00882025" w:rsidRDefault="00882025"/>
    <w:p w:rsidR="00882025" w:rsidRDefault="00882025">
      <w:pPr>
        <w:pStyle w:val="Ledetekst"/>
        <w:framePr w:wrap="notBeside"/>
      </w:pPr>
      <w:r>
        <w:t>Offentlige selskabslignende virksomheder</w:t>
      </w:r>
    </w:p>
    <w:p w:rsidR="00882025" w:rsidRDefault="00882025">
      <w:r>
        <w:t>Følgende forudsætninger gælder for, at der er tale om en offentlig selskabslignende virksomhed:</w:t>
      </w:r>
    </w:p>
    <w:p w:rsidR="00882025" w:rsidRDefault="00882025"/>
    <w:p w:rsidR="00882025" w:rsidRDefault="00882025" w:rsidP="000D669B">
      <w:pPr>
        <w:numPr>
          <w:ilvl w:val="0"/>
          <w:numId w:val="6"/>
        </w:numPr>
        <w:spacing w:after="40"/>
      </w:pPr>
      <w:r>
        <w:t>Regnskaberne er integreret i stats- eller kommuneregnskaberne.</w:t>
      </w:r>
    </w:p>
    <w:p w:rsidR="00882025" w:rsidRPr="008F501A" w:rsidRDefault="00882025" w:rsidP="000D669B">
      <w:pPr>
        <w:numPr>
          <w:ilvl w:val="0"/>
          <w:numId w:val="6"/>
        </w:numPr>
        <w:spacing w:after="40"/>
      </w:pPr>
      <w:r>
        <w:t>Produktionen er markedsbestemt, fremstilles i stor skala og sælges hovedsageligt til den private sektor, dvs. indtægter ved salg udgør 50 pct. eller mere end de lø</w:t>
      </w:r>
      <w:r w:rsidR="00DB5B93">
        <w:softHyphen/>
      </w:r>
      <w:r>
        <w:t xml:space="preserve">bende </w:t>
      </w:r>
      <w:r w:rsidRPr="008F501A">
        <w:t>driftsudgifter.</w:t>
      </w:r>
    </w:p>
    <w:p w:rsidR="00882025" w:rsidRPr="008F501A" w:rsidRDefault="00882025" w:rsidP="000D669B">
      <w:pPr>
        <w:numPr>
          <w:ilvl w:val="0"/>
          <w:numId w:val="6"/>
        </w:numPr>
      </w:pPr>
      <w:r w:rsidRPr="008F501A">
        <w:t>Selskaberne drives erhvervsmæssigt.</w:t>
      </w:r>
    </w:p>
    <w:p w:rsidR="00882025" w:rsidRPr="008F501A" w:rsidRDefault="00882025"/>
    <w:p w:rsidR="00882025" w:rsidRPr="008F501A" w:rsidRDefault="00882025">
      <w:r w:rsidRPr="008F501A">
        <w:t>Sektoren for offentlig forvaltning og service kontrollerer disse selskaber 100 pct. med tilhørende juridiske forpligtelser og dækker selskabers driftsunderskud eller modta</w:t>
      </w:r>
      <w:r w:rsidR="00DB5B93" w:rsidRPr="008F501A">
        <w:softHyphen/>
      </w:r>
      <w:r w:rsidRPr="008F501A">
        <w:t>ger selskabers driftsoverskud. Eksempler på selskabslignende virksomheder er</w:t>
      </w:r>
      <w:r w:rsidR="005D1DAD" w:rsidRPr="008F501A">
        <w:t xml:space="preserve"> Finanstilsynet og Sikkerhedsstyrelsen</w:t>
      </w:r>
      <w:r w:rsidRPr="008F501A">
        <w:t>.</w:t>
      </w:r>
    </w:p>
    <w:p w:rsidR="00882025" w:rsidRPr="008F501A" w:rsidRDefault="00882025"/>
    <w:p w:rsidR="00882025" w:rsidRPr="008F501A" w:rsidRDefault="00882025">
      <w:pPr>
        <w:pStyle w:val="Ledetekst"/>
        <w:framePr w:wrap="notBeside"/>
      </w:pPr>
      <w:r w:rsidRPr="008F501A">
        <w:t>Offentlige selskaber</w:t>
      </w:r>
    </w:p>
    <w:p w:rsidR="00882025" w:rsidRPr="008F501A" w:rsidRDefault="00882025">
      <w:r w:rsidRPr="008F501A">
        <w:t>For de offentlige selskaber, som hovedsageligt er privatretligt organiseret på selskabs- eller selskabslignende form, gælder følgende forudsætninger:</w:t>
      </w:r>
    </w:p>
    <w:p w:rsidR="00882025" w:rsidRPr="008F501A" w:rsidRDefault="00882025"/>
    <w:p w:rsidR="00882025" w:rsidRDefault="00882025" w:rsidP="000D669B">
      <w:pPr>
        <w:numPr>
          <w:ilvl w:val="0"/>
          <w:numId w:val="7"/>
        </w:numPr>
        <w:spacing w:after="40"/>
      </w:pPr>
      <w:r w:rsidRPr="008F501A">
        <w:t xml:space="preserve">Det offentlige har kontrol med virksomhederne </w:t>
      </w:r>
      <w:r>
        <w:t>og/eller</w:t>
      </w:r>
    </w:p>
    <w:p w:rsidR="00882025" w:rsidRDefault="00882025" w:rsidP="000D669B">
      <w:pPr>
        <w:numPr>
          <w:ilvl w:val="0"/>
          <w:numId w:val="7"/>
        </w:numPr>
      </w:pPr>
      <w:r>
        <w:t>Det offentlige ejer mere end 50 pct. af virksomheden.</w:t>
      </w:r>
    </w:p>
    <w:p w:rsidR="00882025" w:rsidRDefault="00882025"/>
    <w:p w:rsidR="00882025" w:rsidRDefault="00882025">
      <w:r>
        <w:t>De offentlige myndigheder har mulighed for at udøve kontrol med virksomheder via lovgrundlag, som fastlægger den enkelte virksomheds spillerum. Det kan endvidere være bestemt, at en fast andel af bestyrelsesmedlemmerne og formanden skal være udpeget af det offentlige. Eksempler på offentlige selskaber er</w:t>
      </w:r>
      <w:r w:rsidRPr="004835E5">
        <w:t xml:space="preserve"> A/S Store</w:t>
      </w:r>
      <w:r w:rsidR="00DB5B93" w:rsidRPr="004835E5">
        <w:softHyphen/>
      </w:r>
      <w:r w:rsidRPr="004835E5">
        <w:t>bæltsforbindelsen</w:t>
      </w:r>
      <w:r w:rsidR="005D1DAD">
        <w:t>,</w:t>
      </w:r>
      <w:r w:rsidR="00337909">
        <w:t xml:space="preserve"> PostNord</w:t>
      </w:r>
      <w:r w:rsidR="00EF37B0">
        <w:t xml:space="preserve"> </w:t>
      </w:r>
      <w:r w:rsidR="00DA0458" w:rsidRPr="004835E5">
        <w:t>A/S</w:t>
      </w:r>
      <w:r w:rsidR="005D1DAD">
        <w:t xml:space="preserve"> og </w:t>
      </w:r>
      <w:r w:rsidR="005D1DAD" w:rsidRPr="005D1DAD">
        <w:t>kommunale forsynings</w:t>
      </w:r>
      <w:r w:rsidR="005D1DAD">
        <w:t>selskaber</w:t>
      </w:r>
      <w:r w:rsidRPr="004835E5">
        <w:t>.</w:t>
      </w:r>
    </w:p>
    <w:p w:rsidR="00882025" w:rsidRDefault="00882025"/>
    <w:p w:rsidR="00882025" w:rsidRDefault="00882025">
      <w:pPr>
        <w:pStyle w:val="Ledetekst"/>
        <w:framePr w:wrap="notBeside"/>
      </w:pPr>
      <w:r>
        <w:t>Den offentlige sektor</w:t>
      </w:r>
    </w:p>
    <w:p w:rsidR="00882025" w:rsidRDefault="00882025">
      <w:r>
        <w:t>De ovenfor beskrevne elementer danner således den offentlige sektor. Denne statistik belyser dels de offentlige virksomheder særskilt og laver dels koblingen til den of</w:t>
      </w:r>
      <w:r w:rsidR="00DB5B93">
        <w:softHyphen/>
      </w:r>
      <w:r>
        <w:t>fentlige sektor for dermed at dække hele dette område i økonomien.</w:t>
      </w:r>
    </w:p>
    <w:p w:rsidR="00882025" w:rsidRDefault="00882025">
      <w:pPr>
        <w:pStyle w:val="Overskrift2"/>
      </w:pPr>
      <w:r>
        <w:t>Erhverv</w:t>
      </w:r>
    </w:p>
    <w:p w:rsidR="00882025" w:rsidRDefault="00882025">
      <w:r>
        <w:t>Statistikken for de offentlige virksomheder omfatter især forsyningsvirksomhed, transportvirksomhed samt kloak- og renovationsvæsen og lossepladser. Statistikken opgøres som en sum af alle virksomheder opdelt på hhv. offentlige selskabslignende virksomheder og offentlige selskaber. Desuden vises en mere detaljeret opgørelse af erhvervene grupperet i forhold til branchenomenklaturen DB</w:t>
      </w:r>
      <w:r w:rsidR="00A12273">
        <w:t>0</w:t>
      </w:r>
      <w:r w:rsidR="00D841AC">
        <w:t>7</w:t>
      </w:r>
      <w:r>
        <w:t>. Oversigtstabel 3 vi</w:t>
      </w:r>
      <w:r w:rsidR="00DF7C6A">
        <w:softHyphen/>
      </w:r>
      <w:r>
        <w:t>ser den erhvervsgruppering, som benyttes i statistikken.</w:t>
      </w:r>
    </w:p>
    <w:p w:rsidR="00941566" w:rsidRDefault="00941566"/>
    <w:p w:rsidR="00882025" w:rsidRDefault="00882025" w:rsidP="004850BB">
      <w:pPr>
        <w:pStyle w:val="Ledetekst"/>
        <w:framePr w:wrap="notBeside"/>
      </w:pPr>
      <w:r>
        <w:br w:type="page"/>
        <w:t>Oversigtstabel 3</w:t>
      </w:r>
      <w:r w:rsidR="00351300">
        <w:t>.</w:t>
      </w:r>
    </w:p>
    <w:p w:rsidR="00882025" w:rsidRDefault="00882025">
      <w:pPr>
        <w:pStyle w:val="Tabeloverskrift"/>
      </w:pPr>
      <w:r>
        <w:t>Erhvervsgrupperinger i statistikken for offentlige virksomheder</w:t>
      </w:r>
    </w:p>
    <w:tbl>
      <w:tblPr>
        <w:tblW w:w="7389" w:type="dxa"/>
        <w:tblLayout w:type="fixed"/>
        <w:tblCellMar>
          <w:left w:w="8" w:type="dxa"/>
          <w:right w:w="8" w:type="dxa"/>
        </w:tblCellMar>
        <w:tblLook w:val="0000" w:firstRow="0" w:lastRow="0" w:firstColumn="0" w:lastColumn="0" w:noHBand="0" w:noVBand="0"/>
      </w:tblPr>
      <w:tblGrid>
        <w:gridCol w:w="4476"/>
        <w:gridCol w:w="2913"/>
      </w:tblGrid>
      <w:tr w:rsidR="00882025" w:rsidRPr="009A6A06" w:rsidTr="00DD5956">
        <w:tc>
          <w:tcPr>
            <w:tcW w:w="4476" w:type="dxa"/>
            <w:tcBorders>
              <w:top w:val="single" w:sz="24" w:space="0" w:color="6F6D5C"/>
              <w:bottom w:val="single" w:sz="6" w:space="0" w:color="auto"/>
            </w:tcBorders>
            <w:shd w:val="clear" w:color="auto" w:fill="auto"/>
          </w:tcPr>
          <w:p w:rsidR="00882025" w:rsidRPr="009A6A06" w:rsidRDefault="00882025" w:rsidP="00DD5956">
            <w:pPr>
              <w:spacing w:before="80" w:after="40" w:line="240" w:lineRule="auto"/>
              <w:rPr>
                <w:rFonts w:ascii="Arial Narrow" w:hAnsi="Arial Narrow"/>
                <w:sz w:val="18"/>
              </w:rPr>
            </w:pPr>
            <w:r w:rsidRPr="009A6A06">
              <w:rPr>
                <w:rFonts w:ascii="Arial Narrow" w:hAnsi="Arial Narrow"/>
                <w:color w:val="000000"/>
                <w:sz w:val="18"/>
              </w:rPr>
              <w:t>Erhverv</w:t>
            </w:r>
          </w:p>
        </w:tc>
        <w:tc>
          <w:tcPr>
            <w:tcW w:w="2913" w:type="dxa"/>
            <w:tcBorders>
              <w:top w:val="single" w:sz="24" w:space="0" w:color="6F6D5C"/>
              <w:bottom w:val="single" w:sz="6" w:space="0" w:color="auto"/>
            </w:tcBorders>
            <w:shd w:val="clear" w:color="auto" w:fill="auto"/>
          </w:tcPr>
          <w:p w:rsidR="00882025" w:rsidRPr="009A6A06" w:rsidRDefault="00882025" w:rsidP="00DD5956">
            <w:pPr>
              <w:spacing w:before="80" w:after="40" w:line="240" w:lineRule="auto"/>
              <w:jc w:val="right"/>
              <w:rPr>
                <w:rFonts w:ascii="Arial Narrow" w:hAnsi="Arial Narrow"/>
                <w:sz w:val="18"/>
              </w:rPr>
            </w:pPr>
            <w:r w:rsidRPr="009A6A06">
              <w:rPr>
                <w:rFonts w:ascii="Arial Narrow" w:hAnsi="Arial Narrow"/>
                <w:color w:val="000000"/>
                <w:sz w:val="18"/>
              </w:rPr>
              <w:t>Branchekode (DB</w:t>
            </w:r>
            <w:r w:rsidR="00A12273" w:rsidRPr="009A6A06">
              <w:rPr>
                <w:rFonts w:ascii="Arial Narrow" w:hAnsi="Arial Narrow"/>
                <w:color w:val="000000"/>
                <w:sz w:val="18"/>
              </w:rPr>
              <w:t>0</w:t>
            </w:r>
            <w:r w:rsidR="006C03BA" w:rsidRPr="009A6A06">
              <w:rPr>
                <w:rFonts w:ascii="Arial Narrow" w:hAnsi="Arial Narrow"/>
                <w:color w:val="000000"/>
                <w:sz w:val="18"/>
              </w:rPr>
              <w:t>7</w:t>
            </w:r>
            <w:r w:rsidRPr="009A6A06">
              <w:rPr>
                <w:rFonts w:ascii="Arial Narrow" w:hAnsi="Arial Narrow"/>
                <w:color w:val="000000"/>
                <w:sz w:val="18"/>
              </w:rPr>
              <w:t>)</w:t>
            </w:r>
          </w:p>
        </w:tc>
      </w:tr>
      <w:tr w:rsidR="00882025" w:rsidRPr="009A6A06" w:rsidTr="00DD5956">
        <w:trPr>
          <w:trHeight w:hRule="exact" w:val="120"/>
        </w:trPr>
        <w:tc>
          <w:tcPr>
            <w:tcW w:w="4476" w:type="dxa"/>
            <w:tcBorders>
              <w:top w:val="single" w:sz="6" w:space="0" w:color="auto"/>
            </w:tcBorders>
            <w:shd w:val="clear" w:color="auto" w:fill="auto"/>
          </w:tcPr>
          <w:p w:rsidR="00882025" w:rsidRPr="009A6A06" w:rsidRDefault="00882025" w:rsidP="009A6A06">
            <w:pPr>
              <w:spacing w:before="80" w:line="240" w:lineRule="auto"/>
              <w:jc w:val="left"/>
              <w:rPr>
                <w:rFonts w:ascii="Arial Narrow" w:hAnsi="Arial Narrow"/>
                <w:color w:val="000000"/>
                <w:sz w:val="18"/>
              </w:rPr>
            </w:pPr>
          </w:p>
        </w:tc>
        <w:tc>
          <w:tcPr>
            <w:tcW w:w="2913" w:type="dxa"/>
            <w:tcBorders>
              <w:top w:val="single" w:sz="6" w:space="0" w:color="auto"/>
            </w:tcBorders>
            <w:shd w:val="clear" w:color="auto" w:fill="auto"/>
          </w:tcPr>
          <w:p w:rsidR="00882025" w:rsidRPr="009A6A06" w:rsidRDefault="00882025" w:rsidP="009A6A06">
            <w:pPr>
              <w:spacing w:before="80" w:line="240" w:lineRule="auto"/>
              <w:jc w:val="center"/>
              <w:rPr>
                <w:rFonts w:ascii="Arial Narrow" w:hAnsi="Arial Narrow"/>
                <w:color w:val="000000"/>
                <w:sz w:val="18"/>
              </w:rPr>
            </w:pPr>
          </w:p>
        </w:tc>
      </w:tr>
      <w:tr w:rsidR="00882025" w:rsidRPr="009A6A06" w:rsidTr="00DD5956">
        <w:tc>
          <w:tcPr>
            <w:tcW w:w="4476" w:type="dxa"/>
            <w:shd w:val="clear" w:color="auto" w:fill="auto"/>
          </w:tcPr>
          <w:p w:rsidR="00882025" w:rsidRPr="009A6A06" w:rsidRDefault="00CA0EE3" w:rsidP="00D841AC">
            <w:pPr>
              <w:spacing w:line="240" w:lineRule="auto"/>
              <w:jc w:val="left"/>
              <w:rPr>
                <w:rFonts w:ascii="Arial Narrow" w:hAnsi="Arial Narrow"/>
                <w:color w:val="000000"/>
                <w:sz w:val="18"/>
                <w:szCs w:val="18"/>
              </w:rPr>
            </w:pPr>
            <w:r w:rsidRPr="009A6A06">
              <w:rPr>
                <w:rFonts w:ascii="Arial Narrow" w:hAnsi="Arial Narrow"/>
                <w:sz w:val="18"/>
                <w:szCs w:val="18"/>
              </w:rPr>
              <w:t>Landbrug, fiskeri, råstof</w:t>
            </w:r>
            <w:r w:rsidR="00D841AC">
              <w:rPr>
                <w:rFonts w:ascii="Arial Narrow" w:hAnsi="Arial Narrow"/>
                <w:sz w:val="18"/>
                <w:szCs w:val="18"/>
              </w:rPr>
              <w:t>ind</w:t>
            </w:r>
            <w:r w:rsidRPr="009A6A06">
              <w:rPr>
                <w:rFonts w:ascii="Arial Narrow" w:hAnsi="Arial Narrow"/>
                <w:sz w:val="18"/>
                <w:szCs w:val="18"/>
              </w:rPr>
              <w:t>vinding og industri</w:t>
            </w:r>
          </w:p>
        </w:tc>
        <w:tc>
          <w:tcPr>
            <w:tcW w:w="2913" w:type="dxa"/>
            <w:shd w:val="clear" w:color="auto" w:fill="auto"/>
          </w:tcPr>
          <w:p w:rsidR="00882025" w:rsidRPr="009A6A06" w:rsidRDefault="00882025" w:rsidP="00307FE8">
            <w:pPr>
              <w:spacing w:line="240" w:lineRule="auto"/>
              <w:jc w:val="right"/>
              <w:rPr>
                <w:rFonts w:ascii="Arial Narrow" w:hAnsi="Arial Narrow"/>
                <w:color w:val="000000"/>
                <w:sz w:val="18"/>
              </w:rPr>
            </w:pPr>
            <w:r w:rsidRPr="009A6A06">
              <w:rPr>
                <w:rFonts w:ascii="Arial Narrow" w:hAnsi="Arial Narrow"/>
                <w:color w:val="000000"/>
                <w:sz w:val="18"/>
              </w:rPr>
              <w:t>0111</w:t>
            </w:r>
            <w:r w:rsidR="006C03BA" w:rsidRPr="009A6A06">
              <w:rPr>
                <w:rFonts w:ascii="Arial Narrow" w:hAnsi="Arial Narrow"/>
                <w:color w:val="000000"/>
                <w:sz w:val="18"/>
              </w:rPr>
              <w:t>0</w:t>
            </w:r>
            <w:r w:rsidRPr="009A6A06">
              <w:rPr>
                <w:rFonts w:ascii="Arial Narrow" w:hAnsi="Arial Narrow"/>
                <w:color w:val="000000"/>
                <w:sz w:val="18"/>
              </w:rPr>
              <w:t>0-</w:t>
            </w:r>
            <w:r w:rsidR="00307FE8">
              <w:rPr>
                <w:rFonts w:ascii="Arial Narrow" w:hAnsi="Arial Narrow"/>
                <w:color w:val="000000"/>
                <w:sz w:val="18"/>
              </w:rPr>
              <w:t>349999</w:t>
            </w:r>
          </w:p>
        </w:tc>
      </w:tr>
      <w:tr w:rsidR="00882025" w:rsidRPr="009A6A06" w:rsidTr="00DD5956">
        <w:tc>
          <w:tcPr>
            <w:tcW w:w="4476" w:type="dxa"/>
            <w:shd w:val="clear" w:color="auto" w:fill="auto"/>
          </w:tcPr>
          <w:p w:rsidR="00882025" w:rsidRPr="009A6A06" w:rsidRDefault="00882025" w:rsidP="00307FE8">
            <w:pPr>
              <w:spacing w:line="240" w:lineRule="auto"/>
              <w:jc w:val="left"/>
              <w:rPr>
                <w:rFonts w:ascii="Arial Narrow" w:hAnsi="Arial Narrow"/>
                <w:color w:val="000000"/>
                <w:sz w:val="18"/>
              </w:rPr>
            </w:pPr>
            <w:r w:rsidRPr="009A6A06">
              <w:rPr>
                <w:rFonts w:ascii="Arial Narrow" w:hAnsi="Arial Narrow"/>
                <w:color w:val="000000"/>
                <w:sz w:val="18"/>
              </w:rPr>
              <w:t>Energiforsyning</w:t>
            </w:r>
          </w:p>
        </w:tc>
        <w:tc>
          <w:tcPr>
            <w:tcW w:w="2913" w:type="dxa"/>
            <w:shd w:val="clear" w:color="auto" w:fill="auto"/>
          </w:tcPr>
          <w:p w:rsidR="00882025" w:rsidRPr="009A6A06" w:rsidRDefault="006C03BA" w:rsidP="00307FE8">
            <w:pPr>
              <w:spacing w:line="240" w:lineRule="auto"/>
              <w:jc w:val="right"/>
              <w:rPr>
                <w:rFonts w:ascii="Arial Narrow" w:hAnsi="Arial Narrow"/>
                <w:color w:val="000000"/>
                <w:sz w:val="18"/>
              </w:rPr>
            </w:pPr>
            <w:r w:rsidRPr="009A6A06">
              <w:rPr>
                <w:rFonts w:ascii="Arial Narrow" w:hAnsi="Arial Narrow"/>
                <w:color w:val="000000"/>
                <w:sz w:val="18"/>
              </w:rPr>
              <w:t>3511</w:t>
            </w:r>
            <w:r w:rsidR="00882025" w:rsidRPr="009A6A06">
              <w:rPr>
                <w:rFonts w:ascii="Arial Narrow" w:hAnsi="Arial Narrow"/>
                <w:color w:val="000000"/>
                <w:sz w:val="18"/>
              </w:rPr>
              <w:t>00-</w:t>
            </w:r>
            <w:r w:rsidRPr="009A6A06">
              <w:rPr>
                <w:rFonts w:ascii="Arial Narrow" w:hAnsi="Arial Narrow"/>
                <w:color w:val="000000"/>
                <w:sz w:val="18"/>
              </w:rPr>
              <w:t>3</w:t>
            </w:r>
            <w:r w:rsidR="00307FE8">
              <w:rPr>
                <w:rFonts w:ascii="Arial Narrow" w:hAnsi="Arial Narrow"/>
                <w:color w:val="000000"/>
                <w:sz w:val="18"/>
              </w:rPr>
              <w:t>59999</w:t>
            </w:r>
          </w:p>
        </w:tc>
      </w:tr>
      <w:tr w:rsidR="00307FE8" w:rsidRPr="009A6A06" w:rsidTr="00DD5956">
        <w:tc>
          <w:tcPr>
            <w:tcW w:w="4476" w:type="dxa"/>
            <w:shd w:val="clear" w:color="auto" w:fill="auto"/>
          </w:tcPr>
          <w:p w:rsidR="00307FE8" w:rsidRPr="009A6A06" w:rsidRDefault="00307FE8" w:rsidP="009A6A06">
            <w:pPr>
              <w:spacing w:line="240" w:lineRule="auto"/>
              <w:jc w:val="left"/>
              <w:rPr>
                <w:rFonts w:ascii="Arial Narrow" w:hAnsi="Arial Narrow"/>
                <w:sz w:val="18"/>
                <w:szCs w:val="18"/>
              </w:rPr>
            </w:pPr>
            <w:r w:rsidRPr="00307FE8">
              <w:rPr>
                <w:rFonts w:ascii="Arial Narrow" w:hAnsi="Arial Narrow"/>
                <w:color w:val="000000"/>
                <w:sz w:val="18"/>
              </w:rPr>
              <w:t>Vandforsyning og spildevand</w:t>
            </w:r>
          </w:p>
        </w:tc>
        <w:tc>
          <w:tcPr>
            <w:tcW w:w="2913" w:type="dxa"/>
            <w:shd w:val="clear" w:color="auto" w:fill="auto"/>
          </w:tcPr>
          <w:p w:rsidR="00307FE8" w:rsidRPr="009A6A06" w:rsidRDefault="00307FE8" w:rsidP="009A6A06">
            <w:pPr>
              <w:spacing w:line="240" w:lineRule="auto"/>
              <w:jc w:val="right"/>
              <w:rPr>
                <w:rFonts w:ascii="Arial Narrow" w:hAnsi="Arial Narrow"/>
                <w:color w:val="000000"/>
                <w:sz w:val="18"/>
              </w:rPr>
            </w:pPr>
            <w:r>
              <w:rPr>
                <w:rFonts w:ascii="Arial Narrow" w:hAnsi="Arial Narrow"/>
                <w:color w:val="000000"/>
                <w:sz w:val="18"/>
              </w:rPr>
              <w:t>360000-379999</w:t>
            </w:r>
          </w:p>
        </w:tc>
      </w:tr>
      <w:tr w:rsidR="00307FE8" w:rsidRPr="009A6A06" w:rsidTr="00DD5956">
        <w:tc>
          <w:tcPr>
            <w:tcW w:w="4476" w:type="dxa"/>
            <w:shd w:val="clear" w:color="auto" w:fill="auto"/>
          </w:tcPr>
          <w:p w:rsidR="00307FE8" w:rsidRPr="009A6A06" w:rsidRDefault="00307FE8" w:rsidP="009A6A06">
            <w:pPr>
              <w:spacing w:line="240" w:lineRule="auto"/>
              <w:jc w:val="left"/>
              <w:rPr>
                <w:rFonts w:ascii="Arial Narrow" w:hAnsi="Arial Narrow"/>
                <w:sz w:val="18"/>
                <w:szCs w:val="18"/>
              </w:rPr>
            </w:pPr>
            <w:r w:rsidRPr="00307FE8">
              <w:rPr>
                <w:rFonts w:ascii="Arial Narrow" w:hAnsi="Arial Narrow"/>
                <w:sz w:val="18"/>
                <w:szCs w:val="18"/>
              </w:rPr>
              <w:t>Affaldsbehandling</w:t>
            </w:r>
          </w:p>
        </w:tc>
        <w:tc>
          <w:tcPr>
            <w:tcW w:w="2913" w:type="dxa"/>
            <w:shd w:val="clear" w:color="auto" w:fill="auto"/>
          </w:tcPr>
          <w:p w:rsidR="00307FE8" w:rsidRPr="009A6A06" w:rsidRDefault="00307FE8" w:rsidP="009A6A06">
            <w:pPr>
              <w:spacing w:line="240" w:lineRule="auto"/>
              <w:jc w:val="right"/>
              <w:rPr>
                <w:rFonts w:ascii="Arial Narrow" w:hAnsi="Arial Narrow"/>
                <w:color w:val="000000"/>
                <w:sz w:val="18"/>
              </w:rPr>
            </w:pPr>
            <w:r>
              <w:rPr>
                <w:rFonts w:ascii="Arial Narrow" w:hAnsi="Arial Narrow"/>
                <w:color w:val="000000"/>
                <w:sz w:val="18"/>
              </w:rPr>
              <w:t>380000-379999</w:t>
            </w:r>
          </w:p>
        </w:tc>
      </w:tr>
      <w:tr w:rsidR="00882025" w:rsidRPr="009A6A06" w:rsidTr="00DD5956">
        <w:tc>
          <w:tcPr>
            <w:tcW w:w="4476" w:type="dxa"/>
            <w:shd w:val="clear" w:color="auto" w:fill="auto"/>
          </w:tcPr>
          <w:p w:rsidR="00882025" w:rsidRPr="009A6A06" w:rsidRDefault="00BA4029" w:rsidP="009A6A06">
            <w:pPr>
              <w:spacing w:line="240" w:lineRule="auto"/>
              <w:jc w:val="left"/>
              <w:rPr>
                <w:rFonts w:ascii="Arial Narrow" w:hAnsi="Arial Narrow"/>
                <w:color w:val="000000"/>
                <w:sz w:val="18"/>
                <w:szCs w:val="18"/>
              </w:rPr>
            </w:pPr>
            <w:r w:rsidRPr="009A6A06">
              <w:rPr>
                <w:rFonts w:ascii="Arial Narrow" w:hAnsi="Arial Narrow"/>
                <w:sz w:val="18"/>
                <w:szCs w:val="18"/>
              </w:rPr>
              <w:t>Bygge- og anlæg samt handel, hotel og restauration</w:t>
            </w:r>
          </w:p>
        </w:tc>
        <w:tc>
          <w:tcPr>
            <w:tcW w:w="2913" w:type="dxa"/>
            <w:shd w:val="clear" w:color="auto" w:fill="auto"/>
          </w:tcPr>
          <w:p w:rsidR="00882025" w:rsidRPr="009A6A06" w:rsidRDefault="00882025" w:rsidP="00307FE8">
            <w:pPr>
              <w:spacing w:line="240" w:lineRule="auto"/>
              <w:jc w:val="right"/>
              <w:rPr>
                <w:rFonts w:ascii="Arial Narrow" w:hAnsi="Arial Narrow"/>
                <w:color w:val="000000"/>
                <w:sz w:val="18"/>
              </w:rPr>
            </w:pPr>
            <w:r w:rsidRPr="009A6A06">
              <w:rPr>
                <w:rFonts w:ascii="Arial Narrow" w:hAnsi="Arial Narrow"/>
                <w:color w:val="000000"/>
                <w:sz w:val="18"/>
              </w:rPr>
              <w:t>41</w:t>
            </w:r>
            <w:r w:rsidR="006C03BA" w:rsidRPr="009A6A06">
              <w:rPr>
                <w:rFonts w:ascii="Arial Narrow" w:hAnsi="Arial Narrow"/>
                <w:color w:val="000000"/>
                <w:sz w:val="18"/>
              </w:rPr>
              <w:t>10</w:t>
            </w:r>
            <w:r w:rsidRPr="009A6A06">
              <w:rPr>
                <w:rFonts w:ascii="Arial Narrow" w:hAnsi="Arial Narrow"/>
                <w:color w:val="000000"/>
                <w:sz w:val="18"/>
              </w:rPr>
              <w:t>00-</w:t>
            </w:r>
            <w:r w:rsidR="006C03BA" w:rsidRPr="009A6A06">
              <w:rPr>
                <w:rFonts w:ascii="Arial Narrow" w:hAnsi="Arial Narrow"/>
                <w:color w:val="000000"/>
                <w:sz w:val="18"/>
              </w:rPr>
              <w:t>4799</w:t>
            </w:r>
            <w:r w:rsidRPr="009A6A06">
              <w:rPr>
                <w:rFonts w:ascii="Arial Narrow" w:hAnsi="Arial Narrow"/>
                <w:color w:val="000000"/>
                <w:sz w:val="18"/>
              </w:rPr>
              <w:t>00, 5</w:t>
            </w:r>
            <w:r w:rsidR="006C03BA" w:rsidRPr="009A6A06">
              <w:rPr>
                <w:rFonts w:ascii="Arial Narrow" w:hAnsi="Arial Narrow"/>
                <w:color w:val="000000"/>
                <w:sz w:val="18"/>
              </w:rPr>
              <w:t>5</w:t>
            </w:r>
            <w:r w:rsidRPr="009A6A06">
              <w:rPr>
                <w:rFonts w:ascii="Arial Narrow" w:hAnsi="Arial Narrow"/>
                <w:color w:val="000000"/>
                <w:sz w:val="18"/>
              </w:rPr>
              <w:t>1010-5</w:t>
            </w:r>
            <w:r w:rsidR="006C03BA" w:rsidRPr="009A6A06">
              <w:rPr>
                <w:rFonts w:ascii="Arial Narrow" w:hAnsi="Arial Narrow"/>
                <w:color w:val="000000"/>
                <w:sz w:val="18"/>
              </w:rPr>
              <w:t>6</w:t>
            </w:r>
            <w:r w:rsidR="00307FE8">
              <w:rPr>
                <w:rFonts w:ascii="Arial Narrow" w:hAnsi="Arial Narrow"/>
                <w:color w:val="000000"/>
                <w:sz w:val="18"/>
              </w:rPr>
              <w:t>9999</w:t>
            </w:r>
          </w:p>
        </w:tc>
      </w:tr>
      <w:tr w:rsidR="00882025" w:rsidRPr="009A6A06" w:rsidTr="00DD5956">
        <w:tc>
          <w:tcPr>
            <w:tcW w:w="4476" w:type="dxa"/>
            <w:shd w:val="clear" w:color="auto" w:fill="auto"/>
          </w:tcPr>
          <w:p w:rsidR="00882025" w:rsidRPr="009A6A06" w:rsidRDefault="00BA4029" w:rsidP="009A6A06">
            <w:pPr>
              <w:spacing w:line="240" w:lineRule="auto"/>
              <w:jc w:val="left"/>
              <w:rPr>
                <w:rFonts w:ascii="Arial Narrow" w:hAnsi="Arial Narrow"/>
                <w:sz w:val="18"/>
                <w:szCs w:val="18"/>
              </w:rPr>
            </w:pPr>
            <w:r w:rsidRPr="009A6A06">
              <w:rPr>
                <w:rFonts w:ascii="Arial Narrow" w:hAnsi="Arial Narrow"/>
                <w:sz w:val="18"/>
                <w:szCs w:val="18"/>
              </w:rPr>
              <w:t>Transport, post og tele</w:t>
            </w:r>
          </w:p>
        </w:tc>
        <w:tc>
          <w:tcPr>
            <w:tcW w:w="2913" w:type="dxa"/>
            <w:shd w:val="clear" w:color="auto" w:fill="auto"/>
          </w:tcPr>
          <w:p w:rsidR="00882025" w:rsidRPr="009A6A06" w:rsidRDefault="006C03BA" w:rsidP="00307FE8">
            <w:pPr>
              <w:spacing w:line="240" w:lineRule="auto"/>
              <w:jc w:val="right"/>
              <w:rPr>
                <w:rFonts w:ascii="Arial Narrow" w:hAnsi="Arial Narrow"/>
                <w:color w:val="000000"/>
                <w:sz w:val="18"/>
              </w:rPr>
            </w:pPr>
            <w:r w:rsidRPr="009A6A06">
              <w:rPr>
                <w:rFonts w:ascii="Arial Narrow" w:hAnsi="Arial Narrow"/>
                <w:color w:val="000000"/>
                <w:sz w:val="18"/>
              </w:rPr>
              <w:t>4910</w:t>
            </w:r>
            <w:r w:rsidR="00882025" w:rsidRPr="009A6A06">
              <w:rPr>
                <w:rFonts w:ascii="Arial Narrow" w:hAnsi="Arial Narrow"/>
                <w:color w:val="000000"/>
                <w:sz w:val="18"/>
              </w:rPr>
              <w:t>00-</w:t>
            </w:r>
            <w:r w:rsidRPr="009A6A06">
              <w:rPr>
                <w:rFonts w:ascii="Arial Narrow" w:hAnsi="Arial Narrow"/>
                <w:color w:val="000000"/>
                <w:sz w:val="18"/>
              </w:rPr>
              <w:t>53</w:t>
            </w:r>
            <w:r w:rsidR="00307FE8">
              <w:rPr>
                <w:rFonts w:ascii="Arial Narrow" w:hAnsi="Arial Narrow"/>
                <w:color w:val="000000"/>
                <w:sz w:val="18"/>
              </w:rPr>
              <w:t>9999</w:t>
            </w:r>
            <w:r w:rsidRPr="009A6A06">
              <w:rPr>
                <w:rFonts w:ascii="Arial Narrow" w:hAnsi="Arial Narrow"/>
                <w:color w:val="000000"/>
                <w:sz w:val="18"/>
              </w:rPr>
              <w:t>, 611000-619</w:t>
            </w:r>
            <w:r w:rsidR="00307FE8">
              <w:rPr>
                <w:rFonts w:ascii="Arial Narrow" w:hAnsi="Arial Narrow"/>
                <w:color w:val="000000"/>
                <w:sz w:val="18"/>
              </w:rPr>
              <w:t>999</w:t>
            </w:r>
          </w:p>
        </w:tc>
      </w:tr>
      <w:tr w:rsidR="00882025" w:rsidRPr="009A6A06" w:rsidTr="00DD5956">
        <w:tc>
          <w:tcPr>
            <w:tcW w:w="4476" w:type="dxa"/>
            <w:tcBorders>
              <w:bottom w:val="single" w:sz="12" w:space="0" w:color="6F6D5C"/>
            </w:tcBorders>
            <w:shd w:val="clear" w:color="auto" w:fill="auto"/>
          </w:tcPr>
          <w:p w:rsidR="00882025" w:rsidRPr="009A6A06" w:rsidRDefault="00984485" w:rsidP="00DD5956">
            <w:pPr>
              <w:spacing w:after="80" w:line="240" w:lineRule="auto"/>
              <w:jc w:val="left"/>
              <w:rPr>
                <w:rFonts w:ascii="Arial Narrow" w:hAnsi="Arial Narrow"/>
                <w:color w:val="000000"/>
                <w:sz w:val="18"/>
                <w:szCs w:val="18"/>
              </w:rPr>
            </w:pPr>
            <w:r w:rsidRPr="009A6A06">
              <w:rPr>
                <w:rFonts w:ascii="Arial Narrow" w:hAnsi="Arial Narrow"/>
                <w:sz w:val="18"/>
                <w:szCs w:val="18"/>
              </w:rPr>
              <w:t>Finansiering og forretningsservice</w:t>
            </w:r>
            <w:r>
              <w:rPr>
                <w:rFonts w:ascii="Arial Narrow" w:hAnsi="Arial Narrow"/>
                <w:sz w:val="18"/>
                <w:szCs w:val="18"/>
              </w:rPr>
              <w:t xml:space="preserve"> mv.</w:t>
            </w:r>
          </w:p>
        </w:tc>
        <w:tc>
          <w:tcPr>
            <w:tcW w:w="2913" w:type="dxa"/>
            <w:tcBorders>
              <w:bottom w:val="single" w:sz="12" w:space="0" w:color="6F6D5C"/>
            </w:tcBorders>
            <w:shd w:val="clear" w:color="auto" w:fill="auto"/>
          </w:tcPr>
          <w:p w:rsidR="00882025" w:rsidRPr="009A6A06" w:rsidRDefault="00984485" w:rsidP="00DD5956">
            <w:pPr>
              <w:spacing w:after="80" w:line="240" w:lineRule="auto"/>
              <w:jc w:val="right"/>
              <w:rPr>
                <w:rFonts w:ascii="Arial Narrow" w:hAnsi="Arial Narrow"/>
                <w:color w:val="000000"/>
                <w:sz w:val="18"/>
              </w:rPr>
            </w:pPr>
            <w:r w:rsidRPr="009A6A06">
              <w:rPr>
                <w:rFonts w:ascii="Arial Narrow" w:hAnsi="Arial Narrow"/>
                <w:color w:val="000000"/>
                <w:sz w:val="18"/>
              </w:rPr>
              <w:t>581100-60</w:t>
            </w:r>
            <w:r>
              <w:rPr>
                <w:rFonts w:ascii="Arial Narrow" w:hAnsi="Arial Narrow"/>
                <w:color w:val="000000"/>
                <w:sz w:val="18"/>
              </w:rPr>
              <w:t>9999</w:t>
            </w:r>
            <w:r w:rsidRPr="009A6A06">
              <w:rPr>
                <w:rFonts w:ascii="Arial Narrow" w:hAnsi="Arial Narrow"/>
                <w:color w:val="000000"/>
                <w:sz w:val="18"/>
              </w:rPr>
              <w:t>, 620100-99</w:t>
            </w:r>
            <w:r>
              <w:rPr>
                <w:rFonts w:ascii="Arial Narrow" w:hAnsi="Arial Narrow"/>
                <w:color w:val="000000"/>
                <w:sz w:val="18"/>
              </w:rPr>
              <w:t>9999</w:t>
            </w:r>
          </w:p>
        </w:tc>
      </w:tr>
    </w:tbl>
    <w:p w:rsidR="00882025" w:rsidRPr="003F5AE7" w:rsidRDefault="00882025" w:rsidP="003F5AE7">
      <w:pPr>
        <w:pStyle w:val="StdCelle"/>
        <w:spacing w:before="40"/>
        <w:jc w:val="left"/>
        <w:rPr>
          <w:sz w:val="14"/>
          <w:szCs w:val="14"/>
        </w:rPr>
      </w:pPr>
      <w:r w:rsidRPr="003F5AE7">
        <w:rPr>
          <w:sz w:val="14"/>
          <w:szCs w:val="14"/>
        </w:rPr>
        <w:t>Anm.</w:t>
      </w:r>
      <w:r w:rsidR="00776F71">
        <w:rPr>
          <w:sz w:val="14"/>
          <w:szCs w:val="14"/>
        </w:rPr>
        <w:t>:</w:t>
      </w:r>
      <w:r w:rsidRPr="003F5AE7">
        <w:rPr>
          <w:sz w:val="14"/>
          <w:szCs w:val="14"/>
        </w:rPr>
        <w:t xml:space="preserve"> Den 6-cifrede DB</w:t>
      </w:r>
      <w:r w:rsidR="00A12273">
        <w:rPr>
          <w:sz w:val="14"/>
          <w:szCs w:val="14"/>
        </w:rPr>
        <w:t>0</w:t>
      </w:r>
      <w:r w:rsidR="000B5A61">
        <w:rPr>
          <w:sz w:val="14"/>
          <w:szCs w:val="14"/>
        </w:rPr>
        <w:t>7</w:t>
      </w:r>
      <w:r w:rsidRPr="003F5AE7">
        <w:rPr>
          <w:sz w:val="14"/>
          <w:szCs w:val="14"/>
        </w:rPr>
        <w:t xml:space="preserve"> kode er den danske underopdeling af en 4-cifret EU-nomenklatur (NACE Rev. </w:t>
      </w:r>
      <w:r w:rsidR="000B5A61">
        <w:rPr>
          <w:sz w:val="14"/>
          <w:szCs w:val="14"/>
        </w:rPr>
        <w:t>2</w:t>
      </w:r>
      <w:r w:rsidRPr="003F5AE7">
        <w:rPr>
          <w:sz w:val="14"/>
          <w:szCs w:val="14"/>
        </w:rPr>
        <w:t>).</w:t>
      </w:r>
    </w:p>
    <w:p w:rsidR="00882025" w:rsidRPr="00DF7C6A" w:rsidRDefault="00882025">
      <w:pPr>
        <w:rPr>
          <w:sz w:val="6"/>
          <w:szCs w:val="6"/>
        </w:rPr>
      </w:pPr>
    </w:p>
    <w:sectPr w:rsidR="00882025" w:rsidRPr="00DF7C6A" w:rsidSect="00826938">
      <w:footnotePr>
        <w:numFmt w:val="lowerRoman"/>
      </w:footnotePr>
      <w:endnotePr>
        <w:numFmt w:val="decimal"/>
      </w:endnotePr>
      <w:type w:val="continuous"/>
      <w:pgSz w:w="11907" w:h="16840"/>
      <w:pgMar w:top="1134" w:right="794" w:bottom="1134" w:left="3742" w:header="567" w:footer="709"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F5" w:rsidRDefault="009746F5">
      <w:r>
        <w:separator/>
      </w:r>
    </w:p>
  </w:endnote>
  <w:endnote w:type="continuationSeparator" w:id="0">
    <w:p w:rsidR="009746F5" w:rsidRDefault="0097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utiger">
    <w:panose1 w:val="000B0500000000000000"/>
    <w:charset w:val="00"/>
    <w:family w:val="swiss"/>
    <w:notTrueType/>
    <w:pitch w:val="variable"/>
    <w:sig w:usb0="00000003" w:usb1="00000000" w:usb2="00000000" w:usb3="00000000" w:csb0="00000001" w:csb1="00000000"/>
  </w:font>
  <w:font w:name="Frutiger Cn">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F5" w:rsidRDefault="009746F5">
      <w:r>
        <w:separator/>
      </w:r>
    </w:p>
  </w:footnote>
  <w:footnote w:type="continuationSeparator" w:id="0">
    <w:p w:rsidR="009746F5" w:rsidRDefault="00974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328EA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6D8CE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4FA4AEF0"/>
    <w:lvl w:ilvl="0">
      <w:numFmt w:val="decimal"/>
      <w:lvlText w:val="*"/>
      <w:lvlJc w:val="left"/>
    </w:lvl>
  </w:abstractNum>
  <w:abstractNum w:abstractNumId="3" w15:restartNumberingAfterBreak="0">
    <w:nsid w:val="13460C3F"/>
    <w:multiLevelType w:val="hybridMultilevel"/>
    <w:tmpl w:val="572A5D5C"/>
    <w:lvl w:ilvl="0" w:tplc="372CED88">
      <w:start w:val="1"/>
      <w:numFmt w:val="bullet"/>
      <w:pStyle w:val="Opstilling-punkttegn"/>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4" w15:restartNumberingAfterBreak="0">
    <w:nsid w:val="24D653D2"/>
    <w:multiLevelType w:val="hybridMultilevel"/>
    <w:tmpl w:val="C844549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3A7049F"/>
    <w:multiLevelType w:val="hybridMultilevel"/>
    <w:tmpl w:val="0BF656E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3"/>
  </w:num>
  <w:num w:numId="4">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78"/>
  <w:drawingGridVerticalSpacing w:val="65"/>
  <w:displayHorizontalDrawingGridEvery w:val="2"/>
  <w:displayVerticalDrawingGridEvery w:val="0"/>
  <w:doNotShadeFormData/>
  <w:noPunctuationKerning/>
  <w:characterSpacingControl w:val="doNotCompress"/>
  <w:hdrShapeDefaults>
    <o:shapedefaults v:ext="edit" spidmax="4097"/>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setemplate" w:val="DSPUBL.DOT"/>
    <w:docVar w:name="print" w:val="600"/>
    <w:docVar w:name="publtype" w:val="ste"/>
  </w:docVars>
  <w:rsids>
    <w:rsidRoot w:val="00882025"/>
    <w:rsid w:val="00000185"/>
    <w:rsid w:val="00006375"/>
    <w:rsid w:val="00006F88"/>
    <w:rsid w:val="00010815"/>
    <w:rsid w:val="00010DFB"/>
    <w:rsid w:val="00011877"/>
    <w:rsid w:val="00013127"/>
    <w:rsid w:val="000157A9"/>
    <w:rsid w:val="00015F84"/>
    <w:rsid w:val="00020ACC"/>
    <w:rsid w:val="00022367"/>
    <w:rsid w:val="00024AB3"/>
    <w:rsid w:val="00030E98"/>
    <w:rsid w:val="00032F07"/>
    <w:rsid w:val="000336C9"/>
    <w:rsid w:val="00034378"/>
    <w:rsid w:val="00034B56"/>
    <w:rsid w:val="00034C64"/>
    <w:rsid w:val="0003619F"/>
    <w:rsid w:val="00036EB5"/>
    <w:rsid w:val="00040F74"/>
    <w:rsid w:val="0004186E"/>
    <w:rsid w:val="0004540B"/>
    <w:rsid w:val="000471DA"/>
    <w:rsid w:val="0004746F"/>
    <w:rsid w:val="000502D4"/>
    <w:rsid w:val="00050E9C"/>
    <w:rsid w:val="0005320F"/>
    <w:rsid w:val="00054285"/>
    <w:rsid w:val="00055CAD"/>
    <w:rsid w:val="0005651B"/>
    <w:rsid w:val="0006141F"/>
    <w:rsid w:val="00061989"/>
    <w:rsid w:val="0006345A"/>
    <w:rsid w:val="00067322"/>
    <w:rsid w:val="000708D2"/>
    <w:rsid w:val="0007319D"/>
    <w:rsid w:val="00074AE3"/>
    <w:rsid w:val="000762F1"/>
    <w:rsid w:val="000772B7"/>
    <w:rsid w:val="00083AF3"/>
    <w:rsid w:val="000867C9"/>
    <w:rsid w:val="00086B8B"/>
    <w:rsid w:val="00087705"/>
    <w:rsid w:val="000910BD"/>
    <w:rsid w:val="00092081"/>
    <w:rsid w:val="00094E72"/>
    <w:rsid w:val="00096FE7"/>
    <w:rsid w:val="000A066E"/>
    <w:rsid w:val="000A2294"/>
    <w:rsid w:val="000A2AB9"/>
    <w:rsid w:val="000A3981"/>
    <w:rsid w:val="000A3A9D"/>
    <w:rsid w:val="000A3FAF"/>
    <w:rsid w:val="000A6806"/>
    <w:rsid w:val="000B0649"/>
    <w:rsid w:val="000B152C"/>
    <w:rsid w:val="000B1C32"/>
    <w:rsid w:val="000B1F6E"/>
    <w:rsid w:val="000B2D10"/>
    <w:rsid w:val="000B3171"/>
    <w:rsid w:val="000B5A61"/>
    <w:rsid w:val="000B5D89"/>
    <w:rsid w:val="000B6720"/>
    <w:rsid w:val="000B7115"/>
    <w:rsid w:val="000B7C16"/>
    <w:rsid w:val="000C14BA"/>
    <w:rsid w:val="000C253D"/>
    <w:rsid w:val="000C2F6A"/>
    <w:rsid w:val="000C3434"/>
    <w:rsid w:val="000C3880"/>
    <w:rsid w:val="000C435C"/>
    <w:rsid w:val="000C5285"/>
    <w:rsid w:val="000C6C96"/>
    <w:rsid w:val="000D1586"/>
    <w:rsid w:val="000D396D"/>
    <w:rsid w:val="000D5CF9"/>
    <w:rsid w:val="000D5D98"/>
    <w:rsid w:val="000D669B"/>
    <w:rsid w:val="000D740B"/>
    <w:rsid w:val="000E005D"/>
    <w:rsid w:val="000E0A39"/>
    <w:rsid w:val="000E41A4"/>
    <w:rsid w:val="000E6744"/>
    <w:rsid w:val="000E6D91"/>
    <w:rsid w:val="000E7ADF"/>
    <w:rsid w:val="000F4928"/>
    <w:rsid w:val="000F51D4"/>
    <w:rsid w:val="000F5219"/>
    <w:rsid w:val="000F66B0"/>
    <w:rsid w:val="000F7764"/>
    <w:rsid w:val="001028B3"/>
    <w:rsid w:val="001028BD"/>
    <w:rsid w:val="00103C8C"/>
    <w:rsid w:val="00104ABB"/>
    <w:rsid w:val="00104C29"/>
    <w:rsid w:val="00106C66"/>
    <w:rsid w:val="00111A53"/>
    <w:rsid w:val="001129FC"/>
    <w:rsid w:val="00113E6E"/>
    <w:rsid w:val="00116F0B"/>
    <w:rsid w:val="00117941"/>
    <w:rsid w:val="0012218B"/>
    <w:rsid w:val="00126BA4"/>
    <w:rsid w:val="00133A52"/>
    <w:rsid w:val="00134F81"/>
    <w:rsid w:val="00135118"/>
    <w:rsid w:val="001357E8"/>
    <w:rsid w:val="00135F04"/>
    <w:rsid w:val="00136B98"/>
    <w:rsid w:val="00137B57"/>
    <w:rsid w:val="00141E18"/>
    <w:rsid w:val="00144109"/>
    <w:rsid w:val="0014428F"/>
    <w:rsid w:val="00144CF3"/>
    <w:rsid w:val="001456D8"/>
    <w:rsid w:val="001514ED"/>
    <w:rsid w:val="001520B6"/>
    <w:rsid w:val="00152C18"/>
    <w:rsid w:val="0015312D"/>
    <w:rsid w:val="00157222"/>
    <w:rsid w:val="00157BDE"/>
    <w:rsid w:val="001608ED"/>
    <w:rsid w:val="001613C0"/>
    <w:rsid w:val="001645D4"/>
    <w:rsid w:val="00165544"/>
    <w:rsid w:val="00165704"/>
    <w:rsid w:val="00167B42"/>
    <w:rsid w:val="00170095"/>
    <w:rsid w:val="00172988"/>
    <w:rsid w:val="001769D4"/>
    <w:rsid w:val="00176E31"/>
    <w:rsid w:val="00182E8F"/>
    <w:rsid w:val="001845B4"/>
    <w:rsid w:val="00187BB4"/>
    <w:rsid w:val="001906DF"/>
    <w:rsid w:val="00191BB5"/>
    <w:rsid w:val="00191FF9"/>
    <w:rsid w:val="00192E35"/>
    <w:rsid w:val="00194BC6"/>
    <w:rsid w:val="00195BCD"/>
    <w:rsid w:val="001A3CF8"/>
    <w:rsid w:val="001A6068"/>
    <w:rsid w:val="001B03C7"/>
    <w:rsid w:val="001B2748"/>
    <w:rsid w:val="001B313D"/>
    <w:rsid w:val="001B4F4C"/>
    <w:rsid w:val="001B6F5B"/>
    <w:rsid w:val="001C0CFB"/>
    <w:rsid w:val="001C0FEF"/>
    <w:rsid w:val="001C37BB"/>
    <w:rsid w:val="001C3E3D"/>
    <w:rsid w:val="001D26EE"/>
    <w:rsid w:val="001D30E0"/>
    <w:rsid w:val="001D5669"/>
    <w:rsid w:val="001D652C"/>
    <w:rsid w:val="001D7ECA"/>
    <w:rsid w:val="001E1135"/>
    <w:rsid w:val="001E13F4"/>
    <w:rsid w:val="001E4057"/>
    <w:rsid w:val="001E51A5"/>
    <w:rsid w:val="001F0124"/>
    <w:rsid w:val="001F114D"/>
    <w:rsid w:val="001F1B8F"/>
    <w:rsid w:val="001F3C41"/>
    <w:rsid w:val="001F3C7D"/>
    <w:rsid w:val="001F479C"/>
    <w:rsid w:val="001F6791"/>
    <w:rsid w:val="001F6AC8"/>
    <w:rsid w:val="001F760A"/>
    <w:rsid w:val="002007C0"/>
    <w:rsid w:val="00200A37"/>
    <w:rsid w:val="00201617"/>
    <w:rsid w:val="002037CC"/>
    <w:rsid w:val="0020479C"/>
    <w:rsid w:val="00204F38"/>
    <w:rsid w:val="00207E40"/>
    <w:rsid w:val="00212FE0"/>
    <w:rsid w:val="00213ED1"/>
    <w:rsid w:val="00217954"/>
    <w:rsid w:val="00220D00"/>
    <w:rsid w:val="002219FB"/>
    <w:rsid w:val="00223C46"/>
    <w:rsid w:val="0022482F"/>
    <w:rsid w:val="00224853"/>
    <w:rsid w:val="00225DF5"/>
    <w:rsid w:val="00226178"/>
    <w:rsid w:val="00226CE1"/>
    <w:rsid w:val="00227D13"/>
    <w:rsid w:val="00232452"/>
    <w:rsid w:val="002376F0"/>
    <w:rsid w:val="00240482"/>
    <w:rsid w:val="00241A9B"/>
    <w:rsid w:val="002434B3"/>
    <w:rsid w:val="00246AF7"/>
    <w:rsid w:val="002506F2"/>
    <w:rsid w:val="00251274"/>
    <w:rsid w:val="002526BC"/>
    <w:rsid w:val="00253C54"/>
    <w:rsid w:val="00257353"/>
    <w:rsid w:val="00257FF7"/>
    <w:rsid w:val="0026264F"/>
    <w:rsid w:val="00264B5A"/>
    <w:rsid w:val="002678F7"/>
    <w:rsid w:val="0027106F"/>
    <w:rsid w:val="00271F63"/>
    <w:rsid w:val="00273838"/>
    <w:rsid w:val="00276337"/>
    <w:rsid w:val="002775DA"/>
    <w:rsid w:val="00277967"/>
    <w:rsid w:val="0028449C"/>
    <w:rsid w:val="00285374"/>
    <w:rsid w:val="002867CF"/>
    <w:rsid w:val="002902A4"/>
    <w:rsid w:val="002905EC"/>
    <w:rsid w:val="002957D9"/>
    <w:rsid w:val="00296E6F"/>
    <w:rsid w:val="002A3DDE"/>
    <w:rsid w:val="002A5373"/>
    <w:rsid w:val="002A616B"/>
    <w:rsid w:val="002B0B94"/>
    <w:rsid w:val="002B1A4A"/>
    <w:rsid w:val="002B29B7"/>
    <w:rsid w:val="002B30B1"/>
    <w:rsid w:val="002B6103"/>
    <w:rsid w:val="002B70A2"/>
    <w:rsid w:val="002C1A54"/>
    <w:rsid w:val="002C2BD7"/>
    <w:rsid w:val="002C35BD"/>
    <w:rsid w:val="002C4377"/>
    <w:rsid w:val="002C43A4"/>
    <w:rsid w:val="002C603C"/>
    <w:rsid w:val="002D0B04"/>
    <w:rsid w:val="002D48D1"/>
    <w:rsid w:val="002D5A0E"/>
    <w:rsid w:val="002E18DB"/>
    <w:rsid w:val="002E20D2"/>
    <w:rsid w:val="002E313E"/>
    <w:rsid w:val="002E331A"/>
    <w:rsid w:val="002E52F4"/>
    <w:rsid w:val="002E540C"/>
    <w:rsid w:val="002E65B2"/>
    <w:rsid w:val="002F09BF"/>
    <w:rsid w:val="002F3095"/>
    <w:rsid w:val="002F34AE"/>
    <w:rsid w:val="002F3795"/>
    <w:rsid w:val="002F3873"/>
    <w:rsid w:val="002F7051"/>
    <w:rsid w:val="002F7E76"/>
    <w:rsid w:val="003008B8"/>
    <w:rsid w:val="00301C10"/>
    <w:rsid w:val="003039F9"/>
    <w:rsid w:val="00307B31"/>
    <w:rsid w:val="00307FE8"/>
    <w:rsid w:val="00310948"/>
    <w:rsid w:val="00310B4D"/>
    <w:rsid w:val="00312F79"/>
    <w:rsid w:val="00313506"/>
    <w:rsid w:val="00314100"/>
    <w:rsid w:val="00314ED3"/>
    <w:rsid w:val="0031502F"/>
    <w:rsid w:val="00320A24"/>
    <w:rsid w:val="003213B1"/>
    <w:rsid w:val="0032641C"/>
    <w:rsid w:val="00331DF2"/>
    <w:rsid w:val="00332ACB"/>
    <w:rsid w:val="00332F2B"/>
    <w:rsid w:val="003335EA"/>
    <w:rsid w:val="003350A7"/>
    <w:rsid w:val="00335C35"/>
    <w:rsid w:val="00335DE7"/>
    <w:rsid w:val="00336D7B"/>
    <w:rsid w:val="00337909"/>
    <w:rsid w:val="0034017C"/>
    <w:rsid w:val="003410B4"/>
    <w:rsid w:val="00342551"/>
    <w:rsid w:val="00342B27"/>
    <w:rsid w:val="0034454F"/>
    <w:rsid w:val="0034480D"/>
    <w:rsid w:val="00351300"/>
    <w:rsid w:val="003544AF"/>
    <w:rsid w:val="00355E61"/>
    <w:rsid w:val="00362D11"/>
    <w:rsid w:val="00363740"/>
    <w:rsid w:val="00365C8A"/>
    <w:rsid w:val="00370015"/>
    <w:rsid w:val="0037054F"/>
    <w:rsid w:val="00380C38"/>
    <w:rsid w:val="00380D1B"/>
    <w:rsid w:val="003851B0"/>
    <w:rsid w:val="00386161"/>
    <w:rsid w:val="00392FFF"/>
    <w:rsid w:val="003946F7"/>
    <w:rsid w:val="00394701"/>
    <w:rsid w:val="00395081"/>
    <w:rsid w:val="003979EA"/>
    <w:rsid w:val="003A1671"/>
    <w:rsid w:val="003A3903"/>
    <w:rsid w:val="003A52AB"/>
    <w:rsid w:val="003A6D2D"/>
    <w:rsid w:val="003A72D4"/>
    <w:rsid w:val="003A76B7"/>
    <w:rsid w:val="003B0CB5"/>
    <w:rsid w:val="003B0DEF"/>
    <w:rsid w:val="003B4CA9"/>
    <w:rsid w:val="003B4F3D"/>
    <w:rsid w:val="003B74FF"/>
    <w:rsid w:val="003B7ECC"/>
    <w:rsid w:val="003C007C"/>
    <w:rsid w:val="003C0A8A"/>
    <w:rsid w:val="003C1DDE"/>
    <w:rsid w:val="003C5965"/>
    <w:rsid w:val="003C6614"/>
    <w:rsid w:val="003C7778"/>
    <w:rsid w:val="003D2876"/>
    <w:rsid w:val="003D5EF9"/>
    <w:rsid w:val="003E0434"/>
    <w:rsid w:val="003E210A"/>
    <w:rsid w:val="003E71D8"/>
    <w:rsid w:val="003E79C7"/>
    <w:rsid w:val="003F0AC5"/>
    <w:rsid w:val="003F2A91"/>
    <w:rsid w:val="003F5AE7"/>
    <w:rsid w:val="003F778D"/>
    <w:rsid w:val="00401A9E"/>
    <w:rsid w:val="00401CF3"/>
    <w:rsid w:val="00403903"/>
    <w:rsid w:val="004043DA"/>
    <w:rsid w:val="004047E3"/>
    <w:rsid w:val="004050C8"/>
    <w:rsid w:val="00407A1C"/>
    <w:rsid w:val="0041007E"/>
    <w:rsid w:val="00415153"/>
    <w:rsid w:val="00415226"/>
    <w:rsid w:val="00415C37"/>
    <w:rsid w:val="00417DC3"/>
    <w:rsid w:val="00417FD3"/>
    <w:rsid w:val="00422BB5"/>
    <w:rsid w:val="0042618C"/>
    <w:rsid w:val="00426791"/>
    <w:rsid w:val="0043095E"/>
    <w:rsid w:val="00440F94"/>
    <w:rsid w:val="00441CAE"/>
    <w:rsid w:val="00441D70"/>
    <w:rsid w:val="004424CA"/>
    <w:rsid w:val="004449DB"/>
    <w:rsid w:val="00444C20"/>
    <w:rsid w:val="00445B7C"/>
    <w:rsid w:val="0045350C"/>
    <w:rsid w:val="00453FCF"/>
    <w:rsid w:val="0045467C"/>
    <w:rsid w:val="00454F14"/>
    <w:rsid w:val="004557E8"/>
    <w:rsid w:val="00456306"/>
    <w:rsid w:val="0045649B"/>
    <w:rsid w:val="004572E3"/>
    <w:rsid w:val="00457346"/>
    <w:rsid w:val="00460CB2"/>
    <w:rsid w:val="00460D1E"/>
    <w:rsid w:val="0046314A"/>
    <w:rsid w:val="00470083"/>
    <w:rsid w:val="00470A7C"/>
    <w:rsid w:val="0047317D"/>
    <w:rsid w:val="0047328E"/>
    <w:rsid w:val="004748E3"/>
    <w:rsid w:val="00475A54"/>
    <w:rsid w:val="00475F68"/>
    <w:rsid w:val="004767CF"/>
    <w:rsid w:val="0048088E"/>
    <w:rsid w:val="00480D7A"/>
    <w:rsid w:val="004835E5"/>
    <w:rsid w:val="004850BB"/>
    <w:rsid w:val="0048693F"/>
    <w:rsid w:val="00486CCF"/>
    <w:rsid w:val="0048746B"/>
    <w:rsid w:val="004908D9"/>
    <w:rsid w:val="00492A9C"/>
    <w:rsid w:val="00493A2D"/>
    <w:rsid w:val="0049639F"/>
    <w:rsid w:val="004966A8"/>
    <w:rsid w:val="004A25D6"/>
    <w:rsid w:val="004A4B97"/>
    <w:rsid w:val="004A5615"/>
    <w:rsid w:val="004A5B85"/>
    <w:rsid w:val="004A6B5B"/>
    <w:rsid w:val="004A747B"/>
    <w:rsid w:val="004B2097"/>
    <w:rsid w:val="004B2155"/>
    <w:rsid w:val="004B54C4"/>
    <w:rsid w:val="004B6D4A"/>
    <w:rsid w:val="004B72DE"/>
    <w:rsid w:val="004C42AD"/>
    <w:rsid w:val="004C505C"/>
    <w:rsid w:val="004D39A7"/>
    <w:rsid w:val="004D41BE"/>
    <w:rsid w:val="004E0007"/>
    <w:rsid w:val="004E18F4"/>
    <w:rsid w:val="004E4FA4"/>
    <w:rsid w:val="004E613F"/>
    <w:rsid w:val="004F30F0"/>
    <w:rsid w:val="004F538F"/>
    <w:rsid w:val="004F773C"/>
    <w:rsid w:val="004F7FCB"/>
    <w:rsid w:val="00504944"/>
    <w:rsid w:val="00505480"/>
    <w:rsid w:val="00505FDF"/>
    <w:rsid w:val="00506869"/>
    <w:rsid w:val="005104AF"/>
    <w:rsid w:val="0051159D"/>
    <w:rsid w:val="005140F9"/>
    <w:rsid w:val="005171BE"/>
    <w:rsid w:val="005175A4"/>
    <w:rsid w:val="0051768E"/>
    <w:rsid w:val="00520578"/>
    <w:rsid w:val="00520657"/>
    <w:rsid w:val="00520902"/>
    <w:rsid w:val="00522462"/>
    <w:rsid w:val="0052263E"/>
    <w:rsid w:val="005264A4"/>
    <w:rsid w:val="00527E0C"/>
    <w:rsid w:val="0053160E"/>
    <w:rsid w:val="005337B3"/>
    <w:rsid w:val="00535609"/>
    <w:rsid w:val="00537457"/>
    <w:rsid w:val="005407A1"/>
    <w:rsid w:val="005416F8"/>
    <w:rsid w:val="00541751"/>
    <w:rsid w:val="00544A4D"/>
    <w:rsid w:val="0055027B"/>
    <w:rsid w:val="00550EDF"/>
    <w:rsid w:val="00552017"/>
    <w:rsid w:val="0055207B"/>
    <w:rsid w:val="00552C9A"/>
    <w:rsid w:val="00554979"/>
    <w:rsid w:val="00554B3A"/>
    <w:rsid w:val="005566F1"/>
    <w:rsid w:val="005612B5"/>
    <w:rsid w:val="00564034"/>
    <w:rsid w:val="005646AD"/>
    <w:rsid w:val="005648F9"/>
    <w:rsid w:val="0056526A"/>
    <w:rsid w:val="005726D7"/>
    <w:rsid w:val="00575AFC"/>
    <w:rsid w:val="0058135E"/>
    <w:rsid w:val="0058509E"/>
    <w:rsid w:val="00585AA5"/>
    <w:rsid w:val="0058765D"/>
    <w:rsid w:val="00590841"/>
    <w:rsid w:val="00592192"/>
    <w:rsid w:val="0059368F"/>
    <w:rsid w:val="00596391"/>
    <w:rsid w:val="005A167A"/>
    <w:rsid w:val="005A6FD1"/>
    <w:rsid w:val="005A7875"/>
    <w:rsid w:val="005B035B"/>
    <w:rsid w:val="005B0575"/>
    <w:rsid w:val="005B152B"/>
    <w:rsid w:val="005B31B7"/>
    <w:rsid w:val="005B3DDA"/>
    <w:rsid w:val="005B5081"/>
    <w:rsid w:val="005B7759"/>
    <w:rsid w:val="005C16A9"/>
    <w:rsid w:val="005C53D1"/>
    <w:rsid w:val="005C5D57"/>
    <w:rsid w:val="005C70EB"/>
    <w:rsid w:val="005D09CF"/>
    <w:rsid w:val="005D1DAD"/>
    <w:rsid w:val="005D3510"/>
    <w:rsid w:val="005D4C97"/>
    <w:rsid w:val="005D4CA5"/>
    <w:rsid w:val="005D59B5"/>
    <w:rsid w:val="005D5A7B"/>
    <w:rsid w:val="005E0BA1"/>
    <w:rsid w:val="005E4FE5"/>
    <w:rsid w:val="005F4C06"/>
    <w:rsid w:val="005F56AF"/>
    <w:rsid w:val="005F5AA1"/>
    <w:rsid w:val="005F7E2B"/>
    <w:rsid w:val="00600952"/>
    <w:rsid w:val="00601B1F"/>
    <w:rsid w:val="0060249D"/>
    <w:rsid w:val="00605A3D"/>
    <w:rsid w:val="00607EC9"/>
    <w:rsid w:val="0061019C"/>
    <w:rsid w:val="006103C8"/>
    <w:rsid w:val="006127AB"/>
    <w:rsid w:val="006208DA"/>
    <w:rsid w:val="006215AC"/>
    <w:rsid w:val="00622964"/>
    <w:rsid w:val="00622A29"/>
    <w:rsid w:val="006247C1"/>
    <w:rsid w:val="00624F99"/>
    <w:rsid w:val="00626A5E"/>
    <w:rsid w:val="00626DEF"/>
    <w:rsid w:val="00630E3E"/>
    <w:rsid w:val="00632268"/>
    <w:rsid w:val="006327C5"/>
    <w:rsid w:val="00644A0F"/>
    <w:rsid w:val="0064591F"/>
    <w:rsid w:val="00647A20"/>
    <w:rsid w:val="0065171A"/>
    <w:rsid w:val="0065237F"/>
    <w:rsid w:val="00654722"/>
    <w:rsid w:val="006549A7"/>
    <w:rsid w:val="00657479"/>
    <w:rsid w:val="006601B3"/>
    <w:rsid w:val="00660959"/>
    <w:rsid w:val="00666F63"/>
    <w:rsid w:val="00670218"/>
    <w:rsid w:val="006706A6"/>
    <w:rsid w:val="006746C7"/>
    <w:rsid w:val="00674716"/>
    <w:rsid w:val="006749D8"/>
    <w:rsid w:val="006764FA"/>
    <w:rsid w:val="0068009F"/>
    <w:rsid w:val="0068057B"/>
    <w:rsid w:val="00680FA5"/>
    <w:rsid w:val="00682390"/>
    <w:rsid w:val="00682F10"/>
    <w:rsid w:val="00683987"/>
    <w:rsid w:val="006844DE"/>
    <w:rsid w:val="006937FF"/>
    <w:rsid w:val="00695A80"/>
    <w:rsid w:val="0069642A"/>
    <w:rsid w:val="00696E38"/>
    <w:rsid w:val="00697368"/>
    <w:rsid w:val="006A0F0B"/>
    <w:rsid w:val="006A10FA"/>
    <w:rsid w:val="006A18DD"/>
    <w:rsid w:val="006A3671"/>
    <w:rsid w:val="006A3980"/>
    <w:rsid w:val="006A5002"/>
    <w:rsid w:val="006A506A"/>
    <w:rsid w:val="006A6975"/>
    <w:rsid w:val="006B1907"/>
    <w:rsid w:val="006B1ECE"/>
    <w:rsid w:val="006B248D"/>
    <w:rsid w:val="006B27F3"/>
    <w:rsid w:val="006B3EC3"/>
    <w:rsid w:val="006B755C"/>
    <w:rsid w:val="006B7B19"/>
    <w:rsid w:val="006C03BA"/>
    <w:rsid w:val="006C3AF8"/>
    <w:rsid w:val="006C7042"/>
    <w:rsid w:val="006D0ABD"/>
    <w:rsid w:val="006D3F38"/>
    <w:rsid w:val="006E793D"/>
    <w:rsid w:val="006F011D"/>
    <w:rsid w:val="006F2C43"/>
    <w:rsid w:val="006F3BE2"/>
    <w:rsid w:val="006F4811"/>
    <w:rsid w:val="006F49A4"/>
    <w:rsid w:val="00700CE3"/>
    <w:rsid w:val="00701C24"/>
    <w:rsid w:val="00702300"/>
    <w:rsid w:val="00702700"/>
    <w:rsid w:val="00703014"/>
    <w:rsid w:val="007031FE"/>
    <w:rsid w:val="00704657"/>
    <w:rsid w:val="00705622"/>
    <w:rsid w:val="007107F9"/>
    <w:rsid w:val="00716C4C"/>
    <w:rsid w:val="0071708F"/>
    <w:rsid w:val="00720D80"/>
    <w:rsid w:val="00726197"/>
    <w:rsid w:val="00726418"/>
    <w:rsid w:val="007267B3"/>
    <w:rsid w:val="007340E5"/>
    <w:rsid w:val="00734716"/>
    <w:rsid w:val="00736B46"/>
    <w:rsid w:val="00737B56"/>
    <w:rsid w:val="00740B9E"/>
    <w:rsid w:val="00742818"/>
    <w:rsid w:val="00746892"/>
    <w:rsid w:val="00746E25"/>
    <w:rsid w:val="007470C3"/>
    <w:rsid w:val="00747172"/>
    <w:rsid w:val="007517BF"/>
    <w:rsid w:val="007521CC"/>
    <w:rsid w:val="00753113"/>
    <w:rsid w:val="00753B2E"/>
    <w:rsid w:val="00756823"/>
    <w:rsid w:val="00757932"/>
    <w:rsid w:val="0077159C"/>
    <w:rsid w:val="00772DBB"/>
    <w:rsid w:val="0077514D"/>
    <w:rsid w:val="00776F71"/>
    <w:rsid w:val="007776F0"/>
    <w:rsid w:val="00780502"/>
    <w:rsid w:val="00784F85"/>
    <w:rsid w:val="0078572A"/>
    <w:rsid w:val="00785904"/>
    <w:rsid w:val="0078666B"/>
    <w:rsid w:val="00791A72"/>
    <w:rsid w:val="0079303D"/>
    <w:rsid w:val="0079628D"/>
    <w:rsid w:val="00796AAE"/>
    <w:rsid w:val="00796CE1"/>
    <w:rsid w:val="00796EFD"/>
    <w:rsid w:val="007A14CC"/>
    <w:rsid w:val="007A1E90"/>
    <w:rsid w:val="007A2545"/>
    <w:rsid w:val="007A49D8"/>
    <w:rsid w:val="007A4BB3"/>
    <w:rsid w:val="007A7751"/>
    <w:rsid w:val="007B0BD2"/>
    <w:rsid w:val="007B0E6B"/>
    <w:rsid w:val="007B25FC"/>
    <w:rsid w:val="007B3954"/>
    <w:rsid w:val="007B7C64"/>
    <w:rsid w:val="007C1EC2"/>
    <w:rsid w:val="007C4B92"/>
    <w:rsid w:val="007C4C21"/>
    <w:rsid w:val="007C6D40"/>
    <w:rsid w:val="007C713E"/>
    <w:rsid w:val="007D242B"/>
    <w:rsid w:val="007D3F70"/>
    <w:rsid w:val="007D5F90"/>
    <w:rsid w:val="007E0F76"/>
    <w:rsid w:val="007E306B"/>
    <w:rsid w:val="007E358B"/>
    <w:rsid w:val="007E3D1A"/>
    <w:rsid w:val="007E4879"/>
    <w:rsid w:val="007E4A68"/>
    <w:rsid w:val="007F0FD1"/>
    <w:rsid w:val="007F5AAD"/>
    <w:rsid w:val="007F6637"/>
    <w:rsid w:val="00800EED"/>
    <w:rsid w:val="00802DCF"/>
    <w:rsid w:val="0080332B"/>
    <w:rsid w:val="00803985"/>
    <w:rsid w:val="00804C8A"/>
    <w:rsid w:val="0080508A"/>
    <w:rsid w:val="00811C7A"/>
    <w:rsid w:val="00812CBA"/>
    <w:rsid w:val="00812DF6"/>
    <w:rsid w:val="00814DA4"/>
    <w:rsid w:val="00815C0D"/>
    <w:rsid w:val="00815F9E"/>
    <w:rsid w:val="0081722B"/>
    <w:rsid w:val="0081743F"/>
    <w:rsid w:val="0081748F"/>
    <w:rsid w:val="0081768C"/>
    <w:rsid w:val="00817B9B"/>
    <w:rsid w:val="00822C21"/>
    <w:rsid w:val="008248C4"/>
    <w:rsid w:val="008250F6"/>
    <w:rsid w:val="00826938"/>
    <w:rsid w:val="00827726"/>
    <w:rsid w:val="00827BD5"/>
    <w:rsid w:val="008328C6"/>
    <w:rsid w:val="0083417F"/>
    <w:rsid w:val="00835E11"/>
    <w:rsid w:val="0083602C"/>
    <w:rsid w:val="00837B00"/>
    <w:rsid w:val="00840872"/>
    <w:rsid w:val="008439E9"/>
    <w:rsid w:val="00843E32"/>
    <w:rsid w:val="00844E25"/>
    <w:rsid w:val="00845218"/>
    <w:rsid w:val="008454D9"/>
    <w:rsid w:val="00845667"/>
    <w:rsid w:val="0084761F"/>
    <w:rsid w:val="0085105C"/>
    <w:rsid w:val="00853AAF"/>
    <w:rsid w:val="00857F66"/>
    <w:rsid w:val="008601E3"/>
    <w:rsid w:val="00861A48"/>
    <w:rsid w:val="008642AA"/>
    <w:rsid w:val="0086646B"/>
    <w:rsid w:val="0087308E"/>
    <w:rsid w:val="008750C3"/>
    <w:rsid w:val="00875CA9"/>
    <w:rsid w:val="00881A52"/>
    <w:rsid w:val="00882025"/>
    <w:rsid w:val="00882BC5"/>
    <w:rsid w:val="00883564"/>
    <w:rsid w:val="00883736"/>
    <w:rsid w:val="0088767A"/>
    <w:rsid w:val="00887FF5"/>
    <w:rsid w:val="0089069B"/>
    <w:rsid w:val="00892F45"/>
    <w:rsid w:val="00893854"/>
    <w:rsid w:val="0089646E"/>
    <w:rsid w:val="008A02FD"/>
    <w:rsid w:val="008A3ED0"/>
    <w:rsid w:val="008A638E"/>
    <w:rsid w:val="008A63B7"/>
    <w:rsid w:val="008A6DF8"/>
    <w:rsid w:val="008A7C0D"/>
    <w:rsid w:val="008B0216"/>
    <w:rsid w:val="008B2C9B"/>
    <w:rsid w:val="008B32B2"/>
    <w:rsid w:val="008B3FAE"/>
    <w:rsid w:val="008B50D2"/>
    <w:rsid w:val="008B6C2A"/>
    <w:rsid w:val="008C094B"/>
    <w:rsid w:val="008C3D67"/>
    <w:rsid w:val="008C41DD"/>
    <w:rsid w:val="008D36DA"/>
    <w:rsid w:val="008D3F37"/>
    <w:rsid w:val="008D5642"/>
    <w:rsid w:val="008E06F8"/>
    <w:rsid w:val="008E185E"/>
    <w:rsid w:val="008E283F"/>
    <w:rsid w:val="008E3ABD"/>
    <w:rsid w:val="008E52E0"/>
    <w:rsid w:val="008E5342"/>
    <w:rsid w:val="008F2A34"/>
    <w:rsid w:val="008F2FC9"/>
    <w:rsid w:val="008F34F5"/>
    <w:rsid w:val="008F3FE6"/>
    <w:rsid w:val="008F501A"/>
    <w:rsid w:val="008F5B1D"/>
    <w:rsid w:val="008F5D1E"/>
    <w:rsid w:val="008F647F"/>
    <w:rsid w:val="008F67AD"/>
    <w:rsid w:val="009018F0"/>
    <w:rsid w:val="00910B24"/>
    <w:rsid w:val="00920CA4"/>
    <w:rsid w:val="009215F2"/>
    <w:rsid w:val="0092236C"/>
    <w:rsid w:val="00922612"/>
    <w:rsid w:val="009227A3"/>
    <w:rsid w:val="009231FD"/>
    <w:rsid w:val="009251EA"/>
    <w:rsid w:val="00925B2D"/>
    <w:rsid w:val="009265F6"/>
    <w:rsid w:val="00927581"/>
    <w:rsid w:val="009278FE"/>
    <w:rsid w:val="00930C42"/>
    <w:rsid w:val="009315BE"/>
    <w:rsid w:val="00932CF7"/>
    <w:rsid w:val="00934619"/>
    <w:rsid w:val="00935695"/>
    <w:rsid w:val="009401B9"/>
    <w:rsid w:val="00940BE2"/>
    <w:rsid w:val="009413AE"/>
    <w:rsid w:val="00941566"/>
    <w:rsid w:val="00947E66"/>
    <w:rsid w:val="00952402"/>
    <w:rsid w:val="0095337A"/>
    <w:rsid w:val="009537FC"/>
    <w:rsid w:val="00954988"/>
    <w:rsid w:val="009572A2"/>
    <w:rsid w:val="00961209"/>
    <w:rsid w:val="009647F3"/>
    <w:rsid w:val="00965B50"/>
    <w:rsid w:val="00966445"/>
    <w:rsid w:val="009708B3"/>
    <w:rsid w:val="00972606"/>
    <w:rsid w:val="00972AD0"/>
    <w:rsid w:val="0097322B"/>
    <w:rsid w:val="009746F5"/>
    <w:rsid w:val="00975F16"/>
    <w:rsid w:val="0097735E"/>
    <w:rsid w:val="0097741A"/>
    <w:rsid w:val="00977875"/>
    <w:rsid w:val="00984485"/>
    <w:rsid w:val="00985E71"/>
    <w:rsid w:val="0099244E"/>
    <w:rsid w:val="009964F7"/>
    <w:rsid w:val="009A2942"/>
    <w:rsid w:val="009A412D"/>
    <w:rsid w:val="009A5EA8"/>
    <w:rsid w:val="009A6A06"/>
    <w:rsid w:val="009B753B"/>
    <w:rsid w:val="009B7D30"/>
    <w:rsid w:val="009B7D4F"/>
    <w:rsid w:val="009B7E6F"/>
    <w:rsid w:val="009C00BA"/>
    <w:rsid w:val="009C07AF"/>
    <w:rsid w:val="009C0E2E"/>
    <w:rsid w:val="009C14F2"/>
    <w:rsid w:val="009C1954"/>
    <w:rsid w:val="009C23FE"/>
    <w:rsid w:val="009C7375"/>
    <w:rsid w:val="009D0DB5"/>
    <w:rsid w:val="009D116C"/>
    <w:rsid w:val="009D1588"/>
    <w:rsid w:val="009D1653"/>
    <w:rsid w:val="009D1E7C"/>
    <w:rsid w:val="009D6BE7"/>
    <w:rsid w:val="009D72BF"/>
    <w:rsid w:val="009E2D2E"/>
    <w:rsid w:val="009E3860"/>
    <w:rsid w:val="009E3BFB"/>
    <w:rsid w:val="009E6147"/>
    <w:rsid w:val="009E6C8A"/>
    <w:rsid w:val="009E7226"/>
    <w:rsid w:val="009F0610"/>
    <w:rsid w:val="009F168A"/>
    <w:rsid w:val="009F1A8E"/>
    <w:rsid w:val="009F3B2A"/>
    <w:rsid w:val="009F5421"/>
    <w:rsid w:val="009F67C6"/>
    <w:rsid w:val="009F7374"/>
    <w:rsid w:val="00A010D2"/>
    <w:rsid w:val="00A014DF"/>
    <w:rsid w:val="00A035E0"/>
    <w:rsid w:val="00A0482C"/>
    <w:rsid w:val="00A072C4"/>
    <w:rsid w:val="00A1216A"/>
    <w:rsid w:val="00A12273"/>
    <w:rsid w:val="00A12FE9"/>
    <w:rsid w:val="00A14464"/>
    <w:rsid w:val="00A14F52"/>
    <w:rsid w:val="00A15816"/>
    <w:rsid w:val="00A247A9"/>
    <w:rsid w:val="00A2498A"/>
    <w:rsid w:val="00A24EC3"/>
    <w:rsid w:val="00A25BFE"/>
    <w:rsid w:val="00A26237"/>
    <w:rsid w:val="00A26FB1"/>
    <w:rsid w:val="00A2745F"/>
    <w:rsid w:val="00A31611"/>
    <w:rsid w:val="00A33E1F"/>
    <w:rsid w:val="00A3473D"/>
    <w:rsid w:val="00A36285"/>
    <w:rsid w:val="00A36BBA"/>
    <w:rsid w:val="00A36F51"/>
    <w:rsid w:val="00A36F9C"/>
    <w:rsid w:val="00A4007D"/>
    <w:rsid w:val="00A41D6F"/>
    <w:rsid w:val="00A41E49"/>
    <w:rsid w:val="00A423D6"/>
    <w:rsid w:val="00A43E23"/>
    <w:rsid w:val="00A43E87"/>
    <w:rsid w:val="00A43EE9"/>
    <w:rsid w:val="00A451F9"/>
    <w:rsid w:val="00A46B66"/>
    <w:rsid w:val="00A5049A"/>
    <w:rsid w:val="00A51E60"/>
    <w:rsid w:val="00A53DE9"/>
    <w:rsid w:val="00A5623F"/>
    <w:rsid w:val="00A57091"/>
    <w:rsid w:val="00A57134"/>
    <w:rsid w:val="00A579F7"/>
    <w:rsid w:val="00A605E9"/>
    <w:rsid w:val="00A61400"/>
    <w:rsid w:val="00A615EF"/>
    <w:rsid w:val="00A63B48"/>
    <w:rsid w:val="00A6778B"/>
    <w:rsid w:val="00A67CCC"/>
    <w:rsid w:val="00A70781"/>
    <w:rsid w:val="00A71C9A"/>
    <w:rsid w:val="00A71EB7"/>
    <w:rsid w:val="00A7290A"/>
    <w:rsid w:val="00A731EA"/>
    <w:rsid w:val="00A8154D"/>
    <w:rsid w:val="00A82DE3"/>
    <w:rsid w:val="00A83F11"/>
    <w:rsid w:val="00A8661B"/>
    <w:rsid w:val="00A90DD5"/>
    <w:rsid w:val="00A910AD"/>
    <w:rsid w:val="00A92A7D"/>
    <w:rsid w:val="00A9313A"/>
    <w:rsid w:val="00A94661"/>
    <w:rsid w:val="00A95DA9"/>
    <w:rsid w:val="00A974EB"/>
    <w:rsid w:val="00AA2380"/>
    <w:rsid w:val="00AA502F"/>
    <w:rsid w:val="00AA5F25"/>
    <w:rsid w:val="00AB1B1D"/>
    <w:rsid w:val="00AB2262"/>
    <w:rsid w:val="00AB3613"/>
    <w:rsid w:val="00AB39E2"/>
    <w:rsid w:val="00AB6616"/>
    <w:rsid w:val="00AB7119"/>
    <w:rsid w:val="00AB76AF"/>
    <w:rsid w:val="00AC0E18"/>
    <w:rsid w:val="00AD1AFF"/>
    <w:rsid w:val="00AD1B32"/>
    <w:rsid w:val="00AD1D31"/>
    <w:rsid w:val="00AD4AC5"/>
    <w:rsid w:val="00AD72C7"/>
    <w:rsid w:val="00AE0119"/>
    <w:rsid w:val="00AE559F"/>
    <w:rsid w:val="00AE678E"/>
    <w:rsid w:val="00AE6F84"/>
    <w:rsid w:val="00AF3226"/>
    <w:rsid w:val="00AF39E1"/>
    <w:rsid w:val="00AF3F85"/>
    <w:rsid w:val="00B00D05"/>
    <w:rsid w:val="00B01645"/>
    <w:rsid w:val="00B03863"/>
    <w:rsid w:val="00B065DF"/>
    <w:rsid w:val="00B07171"/>
    <w:rsid w:val="00B140E7"/>
    <w:rsid w:val="00B15F4A"/>
    <w:rsid w:val="00B20726"/>
    <w:rsid w:val="00B20F71"/>
    <w:rsid w:val="00B21401"/>
    <w:rsid w:val="00B242B3"/>
    <w:rsid w:val="00B24D80"/>
    <w:rsid w:val="00B24DC3"/>
    <w:rsid w:val="00B25035"/>
    <w:rsid w:val="00B26847"/>
    <w:rsid w:val="00B26D37"/>
    <w:rsid w:val="00B32A9E"/>
    <w:rsid w:val="00B32D14"/>
    <w:rsid w:val="00B34790"/>
    <w:rsid w:val="00B34C5A"/>
    <w:rsid w:val="00B34C5B"/>
    <w:rsid w:val="00B401C6"/>
    <w:rsid w:val="00B41E49"/>
    <w:rsid w:val="00B43FD6"/>
    <w:rsid w:val="00B469B2"/>
    <w:rsid w:val="00B46CF0"/>
    <w:rsid w:val="00B53012"/>
    <w:rsid w:val="00B53378"/>
    <w:rsid w:val="00B628B3"/>
    <w:rsid w:val="00B64A3A"/>
    <w:rsid w:val="00B66537"/>
    <w:rsid w:val="00B6665E"/>
    <w:rsid w:val="00B67128"/>
    <w:rsid w:val="00B7095A"/>
    <w:rsid w:val="00B7137A"/>
    <w:rsid w:val="00B72AD6"/>
    <w:rsid w:val="00B735F2"/>
    <w:rsid w:val="00B73A34"/>
    <w:rsid w:val="00B75326"/>
    <w:rsid w:val="00B7594B"/>
    <w:rsid w:val="00B80B28"/>
    <w:rsid w:val="00B958B1"/>
    <w:rsid w:val="00BA0251"/>
    <w:rsid w:val="00BA1703"/>
    <w:rsid w:val="00BA4029"/>
    <w:rsid w:val="00BA6D9E"/>
    <w:rsid w:val="00BA6ED7"/>
    <w:rsid w:val="00BB25D2"/>
    <w:rsid w:val="00BB358B"/>
    <w:rsid w:val="00BB3D51"/>
    <w:rsid w:val="00BB5432"/>
    <w:rsid w:val="00BB7E03"/>
    <w:rsid w:val="00BC279C"/>
    <w:rsid w:val="00BC517C"/>
    <w:rsid w:val="00BC6215"/>
    <w:rsid w:val="00BC64C3"/>
    <w:rsid w:val="00BC6E02"/>
    <w:rsid w:val="00BD00AA"/>
    <w:rsid w:val="00BD3CF2"/>
    <w:rsid w:val="00BD58AB"/>
    <w:rsid w:val="00BD7CB7"/>
    <w:rsid w:val="00BD7DA1"/>
    <w:rsid w:val="00BE315A"/>
    <w:rsid w:val="00BE47CD"/>
    <w:rsid w:val="00BF1BD2"/>
    <w:rsid w:val="00BF1EF5"/>
    <w:rsid w:val="00BF27EF"/>
    <w:rsid w:val="00BF38DA"/>
    <w:rsid w:val="00BF4A53"/>
    <w:rsid w:val="00BF5DA5"/>
    <w:rsid w:val="00BF5E9F"/>
    <w:rsid w:val="00C02F1C"/>
    <w:rsid w:val="00C0321D"/>
    <w:rsid w:val="00C056A5"/>
    <w:rsid w:val="00C13038"/>
    <w:rsid w:val="00C13BCA"/>
    <w:rsid w:val="00C153E8"/>
    <w:rsid w:val="00C158D4"/>
    <w:rsid w:val="00C15FB4"/>
    <w:rsid w:val="00C16458"/>
    <w:rsid w:val="00C175BA"/>
    <w:rsid w:val="00C20FD3"/>
    <w:rsid w:val="00C23330"/>
    <w:rsid w:val="00C23B5C"/>
    <w:rsid w:val="00C2563F"/>
    <w:rsid w:val="00C25EF4"/>
    <w:rsid w:val="00C2785C"/>
    <w:rsid w:val="00C27C7F"/>
    <w:rsid w:val="00C27E10"/>
    <w:rsid w:val="00C31996"/>
    <w:rsid w:val="00C31B3F"/>
    <w:rsid w:val="00C32807"/>
    <w:rsid w:val="00C32AF1"/>
    <w:rsid w:val="00C3471E"/>
    <w:rsid w:val="00C3511C"/>
    <w:rsid w:val="00C36700"/>
    <w:rsid w:val="00C37814"/>
    <w:rsid w:val="00C433BA"/>
    <w:rsid w:val="00C454E4"/>
    <w:rsid w:val="00C50C91"/>
    <w:rsid w:val="00C51CC9"/>
    <w:rsid w:val="00C52547"/>
    <w:rsid w:val="00C5788E"/>
    <w:rsid w:val="00C65341"/>
    <w:rsid w:val="00C65801"/>
    <w:rsid w:val="00C66A29"/>
    <w:rsid w:val="00C66BBA"/>
    <w:rsid w:val="00C67146"/>
    <w:rsid w:val="00C744CB"/>
    <w:rsid w:val="00C751B4"/>
    <w:rsid w:val="00C824C7"/>
    <w:rsid w:val="00C82A30"/>
    <w:rsid w:val="00C83F1B"/>
    <w:rsid w:val="00C8480C"/>
    <w:rsid w:val="00C91074"/>
    <w:rsid w:val="00CA077B"/>
    <w:rsid w:val="00CA0EE3"/>
    <w:rsid w:val="00CA3BA5"/>
    <w:rsid w:val="00CA5A7A"/>
    <w:rsid w:val="00CB4E1E"/>
    <w:rsid w:val="00CB5F36"/>
    <w:rsid w:val="00CB70AE"/>
    <w:rsid w:val="00CB7860"/>
    <w:rsid w:val="00CB7CF0"/>
    <w:rsid w:val="00CC0F06"/>
    <w:rsid w:val="00CC2BC3"/>
    <w:rsid w:val="00CC4C59"/>
    <w:rsid w:val="00CC5227"/>
    <w:rsid w:val="00CC5362"/>
    <w:rsid w:val="00CC590D"/>
    <w:rsid w:val="00CC6A1F"/>
    <w:rsid w:val="00CD3557"/>
    <w:rsid w:val="00CE0F8F"/>
    <w:rsid w:val="00CE3FFD"/>
    <w:rsid w:val="00CE51F1"/>
    <w:rsid w:val="00CE7A49"/>
    <w:rsid w:val="00CF0815"/>
    <w:rsid w:val="00CF11E3"/>
    <w:rsid w:val="00CF51A7"/>
    <w:rsid w:val="00CF7B7C"/>
    <w:rsid w:val="00D00881"/>
    <w:rsid w:val="00D01801"/>
    <w:rsid w:val="00D01B4A"/>
    <w:rsid w:val="00D02FC5"/>
    <w:rsid w:val="00D03D59"/>
    <w:rsid w:val="00D06713"/>
    <w:rsid w:val="00D07390"/>
    <w:rsid w:val="00D12941"/>
    <w:rsid w:val="00D12FC6"/>
    <w:rsid w:val="00D15719"/>
    <w:rsid w:val="00D164D0"/>
    <w:rsid w:val="00D16B32"/>
    <w:rsid w:val="00D214B9"/>
    <w:rsid w:val="00D21E7D"/>
    <w:rsid w:val="00D22D69"/>
    <w:rsid w:val="00D2439D"/>
    <w:rsid w:val="00D24883"/>
    <w:rsid w:val="00D24E31"/>
    <w:rsid w:val="00D268F6"/>
    <w:rsid w:val="00D32D2B"/>
    <w:rsid w:val="00D3322D"/>
    <w:rsid w:val="00D332ED"/>
    <w:rsid w:val="00D33E48"/>
    <w:rsid w:val="00D40387"/>
    <w:rsid w:val="00D40852"/>
    <w:rsid w:val="00D41ACB"/>
    <w:rsid w:val="00D45247"/>
    <w:rsid w:val="00D45DA2"/>
    <w:rsid w:val="00D47DC7"/>
    <w:rsid w:val="00D51431"/>
    <w:rsid w:val="00D522D9"/>
    <w:rsid w:val="00D5469B"/>
    <w:rsid w:val="00D54CA1"/>
    <w:rsid w:val="00D54FA0"/>
    <w:rsid w:val="00D56454"/>
    <w:rsid w:val="00D574B0"/>
    <w:rsid w:val="00D614C7"/>
    <w:rsid w:val="00D62D36"/>
    <w:rsid w:val="00D652DA"/>
    <w:rsid w:val="00D65E68"/>
    <w:rsid w:val="00D65F77"/>
    <w:rsid w:val="00D67D3A"/>
    <w:rsid w:val="00D73D12"/>
    <w:rsid w:val="00D73FB2"/>
    <w:rsid w:val="00D806EF"/>
    <w:rsid w:val="00D80CFC"/>
    <w:rsid w:val="00D81FA3"/>
    <w:rsid w:val="00D8253C"/>
    <w:rsid w:val="00D82736"/>
    <w:rsid w:val="00D841AC"/>
    <w:rsid w:val="00D84A07"/>
    <w:rsid w:val="00D872B2"/>
    <w:rsid w:val="00D87419"/>
    <w:rsid w:val="00D90DDA"/>
    <w:rsid w:val="00D938F0"/>
    <w:rsid w:val="00D942C1"/>
    <w:rsid w:val="00D959D2"/>
    <w:rsid w:val="00D96787"/>
    <w:rsid w:val="00DA0137"/>
    <w:rsid w:val="00DA0458"/>
    <w:rsid w:val="00DA2F5D"/>
    <w:rsid w:val="00DA367A"/>
    <w:rsid w:val="00DA6105"/>
    <w:rsid w:val="00DA7B20"/>
    <w:rsid w:val="00DB1F89"/>
    <w:rsid w:val="00DB22C1"/>
    <w:rsid w:val="00DB3212"/>
    <w:rsid w:val="00DB3653"/>
    <w:rsid w:val="00DB3DE9"/>
    <w:rsid w:val="00DB4676"/>
    <w:rsid w:val="00DB4A30"/>
    <w:rsid w:val="00DB5B93"/>
    <w:rsid w:val="00DB6E42"/>
    <w:rsid w:val="00DB6E85"/>
    <w:rsid w:val="00DC07B8"/>
    <w:rsid w:val="00DC339F"/>
    <w:rsid w:val="00DC439E"/>
    <w:rsid w:val="00DC62C1"/>
    <w:rsid w:val="00DC71F5"/>
    <w:rsid w:val="00DD00F3"/>
    <w:rsid w:val="00DD26BE"/>
    <w:rsid w:val="00DD3AEF"/>
    <w:rsid w:val="00DD4A25"/>
    <w:rsid w:val="00DD5956"/>
    <w:rsid w:val="00DD728B"/>
    <w:rsid w:val="00DD76D9"/>
    <w:rsid w:val="00DE1F1E"/>
    <w:rsid w:val="00DE6AB1"/>
    <w:rsid w:val="00DE6CBF"/>
    <w:rsid w:val="00DF0B23"/>
    <w:rsid w:val="00DF3A5E"/>
    <w:rsid w:val="00DF57DB"/>
    <w:rsid w:val="00DF61B7"/>
    <w:rsid w:val="00DF62F0"/>
    <w:rsid w:val="00DF7C6A"/>
    <w:rsid w:val="00E0229E"/>
    <w:rsid w:val="00E040C3"/>
    <w:rsid w:val="00E040E7"/>
    <w:rsid w:val="00E04139"/>
    <w:rsid w:val="00E108B4"/>
    <w:rsid w:val="00E10BF4"/>
    <w:rsid w:val="00E116BA"/>
    <w:rsid w:val="00E12757"/>
    <w:rsid w:val="00E130B9"/>
    <w:rsid w:val="00E1346C"/>
    <w:rsid w:val="00E14A5A"/>
    <w:rsid w:val="00E14E7F"/>
    <w:rsid w:val="00E16B25"/>
    <w:rsid w:val="00E17877"/>
    <w:rsid w:val="00E203DE"/>
    <w:rsid w:val="00E20CC1"/>
    <w:rsid w:val="00E20E82"/>
    <w:rsid w:val="00E2195E"/>
    <w:rsid w:val="00E22B8E"/>
    <w:rsid w:val="00E254CB"/>
    <w:rsid w:val="00E26711"/>
    <w:rsid w:val="00E268D4"/>
    <w:rsid w:val="00E26C9A"/>
    <w:rsid w:val="00E271BF"/>
    <w:rsid w:val="00E2785F"/>
    <w:rsid w:val="00E27EEA"/>
    <w:rsid w:val="00E30205"/>
    <w:rsid w:val="00E30DE2"/>
    <w:rsid w:val="00E32820"/>
    <w:rsid w:val="00E3437D"/>
    <w:rsid w:val="00E3483D"/>
    <w:rsid w:val="00E35829"/>
    <w:rsid w:val="00E36660"/>
    <w:rsid w:val="00E3791C"/>
    <w:rsid w:val="00E37FFC"/>
    <w:rsid w:val="00E40525"/>
    <w:rsid w:val="00E4064E"/>
    <w:rsid w:val="00E416A6"/>
    <w:rsid w:val="00E448D9"/>
    <w:rsid w:val="00E449C5"/>
    <w:rsid w:val="00E451E4"/>
    <w:rsid w:val="00E46D4F"/>
    <w:rsid w:val="00E52E28"/>
    <w:rsid w:val="00E54A7A"/>
    <w:rsid w:val="00E54D26"/>
    <w:rsid w:val="00E55113"/>
    <w:rsid w:val="00E5563B"/>
    <w:rsid w:val="00E55A48"/>
    <w:rsid w:val="00E604F0"/>
    <w:rsid w:val="00E61259"/>
    <w:rsid w:val="00E61E61"/>
    <w:rsid w:val="00E6278A"/>
    <w:rsid w:val="00E65CDA"/>
    <w:rsid w:val="00E730CA"/>
    <w:rsid w:val="00E73590"/>
    <w:rsid w:val="00E73CB0"/>
    <w:rsid w:val="00E74D6A"/>
    <w:rsid w:val="00E75C0A"/>
    <w:rsid w:val="00E763A5"/>
    <w:rsid w:val="00E7685E"/>
    <w:rsid w:val="00E806F5"/>
    <w:rsid w:val="00E808A1"/>
    <w:rsid w:val="00E8408D"/>
    <w:rsid w:val="00E86085"/>
    <w:rsid w:val="00E87EC1"/>
    <w:rsid w:val="00E90B23"/>
    <w:rsid w:val="00E90C40"/>
    <w:rsid w:val="00E963CA"/>
    <w:rsid w:val="00E96510"/>
    <w:rsid w:val="00EA10C5"/>
    <w:rsid w:val="00EA48D5"/>
    <w:rsid w:val="00EA49CD"/>
    <w:rsid w:val="00EA5C47"/>
    <w:rsid w:val="00EA79CC"/>
    <w:rsid w:val="00EB0466"/>
    <w:rsid w:val="00EB0C6B"/>
    <w:rsid w:val="00EB597B"/>
    <w:rsid w:val="00EB5F17"/>
    <w:rsid w:val="00EC021C"/>
    <w:rsid w:val="00EC03EE"/>
    <w:rsid w:val="00EC0EFF"/>
    <w:rsid w:val="00EC13AF"/>
    <w:rsid w:val="00EC13FB"/>
    <w:rsid w:val="00EC23DA"/>
    <w:rsid w:val="00EC3EA6"/>
    <w:rsid w:val="00EC548A"/>
    <w:rsid w:val="00EC71BD"/>
    <w:rsid w:val="00EC7706"/>
    <w:rsid w:val="00ED18CB"/>
    <w:rsid w:val="00ED6389"/>
    <w:rsid w:val="00ED7035"/>
    <w:rsid w:val="00ED785B"/>
    <w:rsid w:val="00EE192E"/>
    <w:rsid w:val="00EE1E1E"/>
    <w:rsid w:val="00EE1FD3"/>
    <w:rsid w:val="00EE2AFC"/>
    <w:rsid w:val="00EE38A2"/>
    <w:rsid w:val="00EE5E39"/>
    <w:rsid w:val="00EF065F"/>
    <w:rsid w:val="00EF2F40"/>
    <w:rsid w:val="00EF37B0"/>
    <w:rsid w:val="00F01A22"/>
    <w:rsid w:val="00F07F62"/>
    <w:rsid w:val="00F134D2"/>
    <w:rsid w:val="00F139CF"/>
    <w:rsid w:val="00F146FC"/>
    <w:rsid w:val="00F15DFD"/>
    <w:rsid w:val="00F2024D"/>
    <w:rsid w:val="00F23B8F"/>
    <w:rsid w:val="00F264C7"/>
    <w:rsid w:val="00F270DF"/>
    <w:rsid w:val="00F27997"/>
    <w:rsid w:val="00F3409D"/>
    <w:rsid w:val="00F342EE"/>
    <w:rsid w:val="00F3495C"/>
    <w:rsid w:val="00F369AA"/>
    <w:rsid w:val="00F36A37"/>
    <w:rsid w:val="00F379CD"/>
    <w:rsid w:val="00F37B57"/>
    <w:rsid w:val="00F37C4B"/>
    <w:rsid w:val="00F40327"/>
    <w:rsid w:val="00F40C70"/>
    <w:rsid w:val="00F41393"/>
    <w:rsid w:val="00F41E01"/>
    <w:rsid w:val="00F42125"/>
    <w:rsid w:val="00F4218B"/>
    <w:rsid w:val="00F43F19"/>
    <w:rsid w:val="00F44A6E"/>
    <w:rsid w:val="00F47FB9"/>
    <w:rsid w:val="00F504EB"/>
    <w:rsid w:val="00F50722"/>
    <w:rsid w:val="00F50A49"/>
    <w:rsid w:val="00F51FD4"/>
    <w:rsid w:val="00F5625E"/>
    <w:rsid w:val="00F56370"/>
    <w:rsid w:val="00F57CE3"/>
    <w:rsid w:val="00F601ED"/>
    <w:rsid w:val="00F64586"/>
    <w:rsid w:val="00F64F4B"/>
    <w:rsid w:val="00F65212"/>
    <w:rsid w:val="00F65DE5"/>
    <w:rsid w:val="00F72D3F"/>
    <w:rsid w:val="00F74A12"/>
    <w:rsid w:val="00F75134"/>
    <w:rsid w:val="00F76DBD"/>
    <w:rsid w:val="00F77FCA"/>
    <w:rsid w:val="00F81C31"/>
    <w:rsid w:val="00F82BD7"/>
    <w:rsid w:val="00F83282"/>
    <w:rsid w:val="00F83AF1"/>
    <w:rsid w:val="00F83F88"/>
    <w:rsid w:val="00F84DFB"/>
    <w:rsid w:val="00F93B85"/>
    <w:rsid w:val="00F956A8"/>
    <w:rsid w:val="00F958EF"/>
    <w:rsid w:val="00F96B7A"/>
    <w:rsid w:val="00FA1A6D"/>
    <w:rsid w:val="00FA2D95"/>
    <w:rsid w:val="00FA30BD"/>
    <w:rsid w:val="00FA3BB3"/>
    <w:rsid w:val="00FA4EDB"/>
    <w:rsid w:val="00FA6DBB"/>
    <w:rsid w:val="00FB093A"/>
    <w:rsid w:val="00FB1938"/>
    <w:rsid w:val="00FB21FA"/>
    <w:rsid w:val="00FB4129"/>
    <w:rsid w:val="00FB640C"/>
    <w:rsid w:val="00FC28E2"/>
    <w:rsid w:val="00FC4B38"/>
    <w:rsid w:val="00FC70B6"/>
    <w:rsid w:val="00FD3D4B"/>
    <w:rsid w:val="00FD3F83"/>
    <w:rsid w:val="00FD5BE3"/>
    <w:rsid w:val="00FD63CF"/>
    <w:rsid w:val="00FE003A"/>
    <w:rsid w:val="00FE0C78"/>
    <w:rsid w:val="00FE1B7A"/>
    <w:rsid w:val="00FF0394"/>
    <w:rsid w:val="00FF1EF7"/>
    <w:rsid w:val="00FF431D"/>
    <w:rsid w:val="00FF6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50A3B"/>
  <w15:docId w15:val="{15757776-6497-4547-8581-EBCE99FA7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2BF"/>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qFormat/>
    <w:pPr>
      <w:keepNext/>
      <w:keepLines/>
      <w:spacing w:before="480" w:after="240"/>
      <w:jc w:val="left"/>
      <w:outlineLvl w:val="0"/>
    </w:pPr>
    <w:rPr>
      <w:rFonts w:ascii="Arial" w:hAnsi="Arial" w:cs="Arial"/>
      <w:b/>
      <w:sz w:val="24"/>
    </w:rPr>
  </w:style>
  <w:style w:type="paragraph" w:styleId="Overskrift2">
    <w:name w:val="heading 2"/>
    <w:basedOn w:val="Normal"/>
    <w:next w:val="Normal"/>
    <w:qFormat/>
    <w:pPr>
      <w:keepNext/>
      <w:keepLines/>
      <w:spacing w:before="480" w:after="240"/>
      <w:outlineLvl w:val="1"/>
    </w:pPr>
    <w:rPr>
      <w:rFonts w:ascii="Arial" w:hAnsi="Arial" w:cs="Arial"/>
      <w:b/>
      <w:sz w:val="22"/>
    </w:rPr>
  </w:style>
  <w:style w:type="paragraph" w:styleId="Overskrift3">
    <w:name w:val="heading 3"/>
    <w:basedOn w:val="Normal"/>
    <w:next w:val="Normal"/>
    <w:qFormat/>
    <w:pPr>
      <w:keepNext/>
      <w:keepLines/>
      <w:spacing w:before="480" w:after="240"/>
      <w:jc w:val="left"/>
      <w:outlineLvl w:val="2"/>
    </w:pPr>
    <w:rPr>
      <w:rFonts w:ascii="Arial" w:hAnsi="Arial" w:cs="Arial"/>
      <w:b/>
    </w:rPr>
  </w:style>
  <w:style w:type="paragraph" w:styleId="Overskrift4">
    <w:name w:val="heading 4"/>
    <w:basedOn w:val="Normal"/>
    <w:next w:val="Normal"/>
    <w:qFormat/>
    <w:pPr>
      <w:keepNext/>
      <w:spacing w:before="240" w:after="60"/>
      <w:outlineLvl w:val="3"/>
    </w:pPr>
    <w:rPr>
      <w:rFonts w:ascii="Frutiger" w:hAnsi="Frutiger"/>
      <w:b/>
      <w:sz w:val="22"/>
    </w:rPr>
  </w:style>
  <w:style w:type="paragraph" w:styleId="Overskrift5">
    <w:name w:val="heading 5"/>
    <w:basedOn w:val="Normal"/>
    <w:next w:val="Normal"/>
    <w:qFormat/>
    <w:pPr>
      <w:keepNext/>
      <w:spacing w:before="80"/>
      <w:ind w:left="357" w:hanging="357"/>
      <w:outlineLvl w:val="4"/>
    </w:pPr>
    <w:rPr>
      <w:rFonts w:ascii="Frutiger Cn" w:hAnsi="Frutiger Cn"/>
      <w:b/>
      <w:color w:val="000000"/>
      <w:sz w:val="16"/>
    </w:rPr>
  </w:style>
  <w:style w:type="paragraph" w:styleId="Overskrift6">
    <w:name w:val="heading 6"/>
    <w:basedOn w:val="Normal"/>
    <w:next w:val="Normal"/>
    <w:qFormat/>
    <w:pPr>
      <w:keepNext/>
      <w:outlineLvl w:val="5"/>
    </w:pPr>
    <w:rPr>
      <w:rFonts w:ascii="Frutiger Cn" w:hAnsi="Frutiger Cn"/>
      <w:b/>
      <w:bCs/>
      <w:color w:val="000000"/>
      <w:sz w:val="18"/>
      <w:szCs w:val="1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lutnotetekst">
    <w:name w:val="endnote text"/>
    <w:basedOn w:val="Fodnotetekst"/>
    <w:semiHidden/>
  </w:style>
  <w:style w:type="paragraph" w:styleId="Fodnotetekst">
    <w:name w:val="footnote text"/>
    <w:basedOn w:val="Normal"/>
    <w:semiHidden/>
    <w:pPr>
      <w:tabs>
        <w:tab w:val="left" w:pos="113"/>
      </w:tabs>
      <w:spacing w:before="20"/>
      <w:ind w:left="125" w:hanging="125"/>
    </w:pPr>
    <w:rPr>
      <w:rFonts w:ascii="Arial Narrow" w:hAnsi="Arial Narrow"/>
      <w:sz w:val="16"/>
    </w:rPr>
  </w:style>
  <w:style w:type="paragraph" w:styleId="Sidefod">
    <w:name w:val="footer"/>
    <w:basedOn w:val="Normal"/>
    <w:pPr>
      <w:tabs>
        <w:tab w:val="left" w:pos="5273"/>
      </w:tabs>
    </w:pPr>
  </w:style>
  <w:style w:type="paragraph" w:styleId="Sidehoved">
    <w:name w:val="header"/>
    <w:basedOn w:val="Normal"/>
    <w:pPr>
      <w:tabs>
        <w:tab w:val="center" w:pos="4252"/>
        <w:tab w:val="right" w:pos="8504"/>
      </w:tabs>
      <w:ind w:left="-2552"/>
      <w:jc w:val="left"/>
    </w:pPr>
  </w:style>
  <w:style w:type="character" w:styleId="Fodnotehenvisning">
    <w:name w:val="footnote reference"/>
    <w:semiHidden/>
    <w:rPr>
      <w:rFonts w:ascii="Frutiger Cn" w:hAnsi="Frutiger Cn"/>
      <w:position w:val="6"/>
      <w:sz w:val="14"/>
    </w:rPr>
  </w:style>
  <w:style w:type="paragraph" w:styleId="Normalindrykning">
    <w:name w:val="Normal Indent"/>
    <w:basedOn w:val="Normal"/>
    <w:pPr>
      <w:ind w:left="1304"/>
    </w:pPr>
  </w:style>
  <w:style w:type="paragraph" w:customStyle="1" w:styleId="Ledetekst">
    <w:name w:val="Ledetekst"/>
    <w:basedOn w:val="Normal"/>
    <w:next w:val="Normal"/>
    <w:rsid w:val="004E4FA4"/>
    <w:pPr>
      <w:keepNext/>
      <w:framePr w:w="2268" w:hSpace="283" w:vSpace="141" w:wrap="notBeside" w:vAnchor="text" w:hAnchor="page" w:y="1"/>
      <w:suppressAutoHyphens/>
      <w:spacing w:line="240" w:lineRule="exact"/>
      <w:jc w:val="right"/>
    </w:pPr>
    <w:rPr>
      <w:rFonts w:ascii="Arial" w:hAnsi="Arial" w:cs="Arial"/>
      <w:i/>
      <w:sz w:val="18"/>
    </w:rPr>
  </w:style>
  <w:style w:type="paragraph" w:customStyle="1" w:styleId="DatoNr">
    <w:name w:val="Dato/Nr."/>
    <w:basedOn w:val="Normal"/>
    <w:pPr>
      <w:tabs>
        <w:tab w:val="left" w:pos="7825"/>
        <w:tab w:val="left" w:pos="8959"/>
      </w:tabs>
    </w:pPr>
  </w:style>
  <w:style w:type="paragraph" w:styleId="Titel">
    <w:name w:val="Title"/>
    <w:basedOn w:val="Normal"/>
    <w:next w:val="Normal"/>
    <w:link w:val="TitelTegn"/>
    <w:qFormat/>
    <w:pPr>
      <w:spacing w:before="480" w:after="240"/>
      <w:jc w:val="left"/>
    </w:pPr>
    <w:rPr>
      <w:rFonts w:ascii="Arial" w:hAnsi="Arial" w:cs="Arial"/>
      <w:b/>
      <w:sz w:val="30"/>
    </w:rPr>
  </w:style>
  <w:style w:type="paragraph" w:customStyle="1" w:styleId="OversigtsTabelLille">
    <w:name w:val="OversigtsTabelLille"/>
    <w:basedOn w:val="OversigtsTabelStd"/>
    <w:rPr>
      <w:sz w:val="16"/>
    </w:rPr>
  </w:style>
  <w:style w:type="paragraph" w:customStyle="1" w:styleId="OversigtsTabelStd">
    <w:name w:val="OversigtsTabelStd"/>
    <w:basedOn w:val="Normal"/>
    <w:pPr>
      <w:tabs>
        <w:tab w:val="left" w:pos="113"/>
        <w:tab w:val="left" w:pos="227"/>
        <w:tab w:val="left" w:pos="340"/>
      </w:tabs>
    </w:pPr>
    <w:rPr>
      <w:rFonts w:ascii="Arial Narrow" w:hAnsi="Arial Narrow"/>
      <w:sz w:val="18"/>
    </w:rPr>
  </w:style>
  <w:style w:type="paragraph" w:customStyle="1" w:styleId="LilleCelle">
    <w:name w:val="LilleCelle"/>
    <w:basedOn w:val="OversigtsTabelLille"/>
    <w:pPr>
      <w:jc w:val="right"/>
    </w:pPr>
  </w:style>
  <w:style w:type="paragraph" w:customStyle="1" w:styleId="Tabeloverskrift">
    <w:name w:val="Tabeloverskrift"/>
    <w:basedOn w:val="Normal"/>
    <w:next w:val="Normal"/>
    <w:pPr>
      <w:keepNext/>
      <w:keepLines/>
      <w:spacing w:after="80"/>
      <w:jc w:val="left"/>
    </w:pPr>
    <w:rPr>
      <w:rFonts w:ascii="Arial Narrow" w:hAnsi="Arial Narrow"/>
      <w:b/>
    </w:rPr>
  </w:style>
  <w:style w:type="paragraph" w:customStyle="1" w:styleId="LedetekstTNS">
    <w:name w:val="LedetekstTNS"/>
    <w:basedOn w:val="Ledetekst"/>
    <w:next w:val="Normal"/>
    <w:pPr>
      <w:pageBreakBefore/>
      <w:framePr w:wrap="notBeside"/>
    </w:pPr>
  </w:style>
  <w:style w:type="paragraph" w:customStyle="1" w:styleId="Oprems">
    <w:name w:val="Oprems"/>
    <w:basedOn w:val="Normal"/>
    <w:pPr>
      <w:spacing w:after="80"/>
      <w:jc w:val="left"/>
    </w:pPr>
  </w:style>
  <w:style w:type="paragraph" w:customStyle="1" w:styleId="StdCelle">
    <w:name w:val="StdCelle"/>
    <w:basedOn w:val="OversigtsTabelStd"/>
    <w:pPr>
      <w:jc w:val="right"/>
    </w:pPr>
  </w:style>
  <w:style w:type="paragraph" w:customStyle="1" w:styleId="LilleCelleMedLuft">
    <w:name w:val="LilleCelleMedLuft"/>
    <w:basedOn w:val="OversigtsTabelLille"/>
    <w:pPr>
      <w:spacing w:before="80"/>
      <w:jc w:val="right"/>
    </w:pPr>
  </w:style>
  <w:style w:type="paragraph" w:customStyle="1" w:styleId="LilleCelleStreg">
    <w:name w:val="LilleCelleStreg"/>
    <w:basedOn w:val="LilleCelleMedLuft"/>
    <w:pPr>
      <w:pBdr>
        <w:bottom w:val="single" w:sz="6" w:space="2" w:color="auto"/>
      </w:pBdr>
      <w:spacing w:before="0" w:after="60"/>
      <w:ind w:left="113"/>
      <w:jc w:val="center"/>
    </w:pPr>
  </w:style>
  <w:style w:type="paragraph" w:customStyle="1" w:styleId="ExcelKde">
    <w:name w:val="ExcelKæde"/>
    <w:basedOn w:val="Normal"/>
    <w:pPr>
      <w:spacing w:line="80" w:lineRule="exact"/>
      <w:ind w:right="-4253"/>
    </w:pPr>
  </w:style>
  <w:style w:type="paragraph" w:customStyle="1" w:styleId="EnhedStd">
    <w:name w:val="EnhedStd"/>
    <w:basedOn w:val="OversigtsTabelStd"/>
    <w:next w:val="Normal"/>
    <w:pPr>
      <w:spacing w:before="80" w:after="80"/>
      <w:ind w:left="86"/>
    </w:pPr>
    <w:rPr>
      <w:sz w:val="16"/>
    </w:rPr>
  </w:style>
  <w:style w:type="paragraph" w:customStyle="1" w:styleId="EnhedLille">
    <w:name w:val="EnhedLille"/>
    <w:basedOn w:val="OversigtsTabelLille"/>
    <w:next w:val="Normal"/>
    <w:pPr>
      <w:spacing w:before="80" w:after="80"/>
      <w:ind w:left="86"/>
    </w:pPr>
  </w:style>
  <w:style w:type="paragraph" w:customStyle="1" w:styleId="LilleCelleMidtStreg">
    <w:name w:val="LilleCelleMidtStreg"/>
    <w:basedOn w:val="LilleCelleStreg"/>
    <w:pPr>
      <w:pBdr>
        <w:bottom w:val="single" w:sz="6" w:space="4" w:color="auto"/>
      </w:pBdr>
    </w:pPr>
  </w:style>
  <w:style w:type="paragraph" w:customStyle="1" w:styleId="StdCelleMedLuft">
    <w:name w:val="StdCelleMedLuft"/>
    <w:basedOn w:val="OversigtsTabelStd"/>
    <w:pPr>
      <w:spacing w:before="80"/>
      <w:jc w:val="right"/>
    </w:pPr>
  </w:style>
  <w:style w:type="paragraph" w:customStyle="1" w:styleId="StdCelleStreg">
    <w:name w:val="StdCelleStreg"/>
    <w:basedOn w:val="OversigtsTabelStd"/>
    <w:pPr>
      <w:pBdr>
        <w:bottom w:val="single" w:sz="6" w:space="3" w:color="auto"/>
      </w:pBdr>
      <w:spacing w:after="60"/>
      <w:ind w:left="113"/>
      <w:jc w:val="center"/>
    </w:pPr>
  </w:style>
  <w:style w:type="paragraph" w:customStyle="1" w:styleId="StdCelleMidtStreg">
    <w:name w:val="StdCelleMidtStreg"/>
    <w:basedOn w:val="StdCelleStreg"/>
    <w:pPr>
      <w:pBdr>
        <w:bottom w:val="single" w:sz="6" w:space="6" w:color="auto"/>
      </w:pBdr>
    </w:pPr>
  </w:style>
  <w:style w:type="paragraph" w:customStyle="1" w:styleId="Efterretnserie">
    <w:name w:val="Efterretn serie"/>
    <w:basedOn w:val="Normal"/>
    <w:next w:val="Efterretndato"/>
    <w:pPr>
      <w:tabs>
        <w:tab w:val="right" w:pos="9923"/>
      </w:tabs>
      <w:spacing w:before="80" w:after="720"/>
      <w:ind w:left="-2098"/>
      <w:jc w:val="left"/>
    </w:pPr>
    <w:rPr>
      <w:rFonts w:ascii="Frutiger" w:hAnsi="Frutiger"/>
      <w:b/>
      <w:i/>
      <w:caps/>
      <w:sz w:val="54"/>
    </w:rPr>
  </w:style>
  <w:style w:type="paragraph" w:customStyle="1" w:styleId="Efterretndato">
    <w:name w:val="Efterretn dato"/>
    <w:basedOn w:val="Normal"/>
    <w:next w:val="Titel"/>
    <w:pPr>
      <w:pBdr>
        <w:bottom w:val="single" w:sz="36" w:space="4" w:color="FF9900"/>
      </w:pBdr>
      <w:tabs>
        <w:tab w:val="left" w:pos="-567"/>
        <w:tab w:val="left" w:pos="0"/>
      </w:tabs>
      <w:spacing w:before="80" w:after="80"/>
      <w:ind w:left="-2098"/>
      <w:jc w:val="left"/>
    </w:pPr>
    <w:rPr>
      <w:rFonts w:ascii="Frutiger" w:hAnsi="Frutiger"/>
      <w:sz w:val="28"/>
    </w:rPr>
  </w:style>
  <w:style w:type="paragraph" w:customStyle="1" w:styleId="EfterretnIndh">
    <w:name w:val="Efterretn Indh"/>
    <w:basedOn w:val="Normal"/>
    <w:pPr>
      <w:tabs>
        <w:tab w:val="right" w:leader="dot" w:pos="3119"/>
        <w:tab w:val="right" w:pos="3345"/>
      </w:tabs>
      <w:spacing w:after="120"/>
    </w:pPr>
  </w:style>
  <w:style w:type="paragraph" w:customStyle="1" w:styleId="EfterretnTop">
    <w:name w:val="EfterretnTop"/>
    <w:basedOn w:val="Normal"/>
    <w:pPr>
      <w:pBdr>
        <w:top w:val="single" w:sz="18" w:space="28" w:color="auto"/>
      </w:pBdr>
      <w:tabs>
        <w:tab w:val="left" w:pos="7825"/>
        <w:tab w:val="left" w:pos="8959"/>
      </w:tabs>
      <w:spacing w:before="120"/>
    </w:pPr>
  </w:style>
  <w:style w:type="paragraph" w:customStyle="1" w:styleId="TabTitel">
    <w:name w:val="TabTitel"/>
    <w:basedOn w:val="Normal"/>
    <w:next w:val="Normal"/>
    <w:pPr>
      <w:keepNext/>
      <w:keepLines/>
      <w:tabs>
        <w:tab w:val="left" w:pos="2551"/>
      </w:tabs>
      <w:spacing w:after="80"/>
      <w:ind w:left="2551" w:hanging="2551"/>
      <w:jc w:val="left"/>
    </w:pPr>
    <w:rPr>
      <w:rFonts w:ascii="Arial Narrow" w:hAnsi="Arial Narrow"/>
      <w:b/>
    </w:rPr>
  </w:style>
  <w:style w:type="paragraph" w:styleId="Opstilling-punkttegn">
    <w:name w:val="List Bullet"/>
    <w:basedOn w:val="Oprems"/>
    <w:autoRedefine/>
    <w:pPr>
      <w:numPr>
        <w:numId w:val="3"/>
      </w:numPr>
    </w:pPr>
  </w:style>
  <w:style w:type="paragraph" w:styleId="Opstilling-talellerbogst">
    <w:name w:val="List Number"/>
    <w:basedOn w:val="Oprems"/>
    <w:pPr>
      <w:ind w:left="357" w:hanging="357"/>
    </w:pPr>
  </w:style>
  <w:style w:type="character" w:styleId="Sidetal">
    <w:name w:val="page number"/>
    <w:rPr>
      <w:rFonts w:ascii="Frutiger" w:hAnsi="Frutiger"/>
      <w:sz w:val="22"/>
      <w:u w:val="none"/>
    </w:rPr>
  </w:style>
  <w:style w:type="character" w:styleId="Kommentarhenvisning">
    <w:name w:val="annotation reference"/>
    <w:semiHidden/>
    <w:rPr>
      <w:sz w:val="16"/>
    </w:rPr>
  </w:style>
  <w:style w:type="paragraph" w:styleId="Kommentartekst">
    <w:name w:val="annotation text"/>
    <w:basedOn w:val="Normal"/>
    <w:semiHidden/>
  </w:style>
  <w:style w:type="paragraph" w:customStyle="1" w:styleId="DiaTablrubrik">
    <w:name w:val="DiaTablårubrik"/>
    <w:basedOn w:val="Normal"/>
    <w:pPr>
      <w:suppressAutoHyphens/>
      <w:spacing w:before="60" w:after="60"/>
    </w:pPr>
    <w:rPr>
      <w:rFonts w:ascii="Arial" w:hAnsi="Arial"/>
      <w:lang w:val="sv-SE"/>
    </w:rPr>
  </w:style>
  <w:style w:type="paragraph" w:styleId="Undertitel">
    <w:name w:val="Subtitle"/>
    <w:basedOn w:val="Normal"/>
    <w:next w:val="Normal"/>
    <w:qFormat/>
    <w:pPr>
      <w:keepNext/>
      <w:spacing w:after="60"/>
      <w:ind w:left="-1985"/>
    </w:pPr>
    <w:rPr>
      <w:rFonts w:ascii="Arial Black" w:hAnsi="Arial Black"/>
      <w:i/>
      <w:sz w:val="22"/>
      <w:lang w:val="sv-SE"/>
    </w:rPr>
  </w:style>
  <w:style w:type="paragraph" w:customStyle="1" w:styleId="Engelsktitel">
    <w:name w:val="Engelsk titel"/>
    <w:basedOn w:val="Undertitel"/>
    <w:next w:val="Normal"/>
    <w:pPr>
      <w:spacing w:after="0"/>
    </w:pPr>
    <w:rPr>
      <w:rFonts w:ascii="Arial" w:hAnsi="Arial"/>
      <w:i w:val="0"/>
      <w:lang w:val="en-GB"/>
    </w:rPr>
  </w:style>
  <w:style w:type="paragraph" w:customStyle="1" w:styleId="Ikortadrag">
    <w:name w:val="I korta drag:"/>
    <w:next w:val="Normal"/>
    <w:pPr>
      <w:widowControl w:val="0"/>
      <w:pBdr>
        <w:top w:val="single" w:sz="18" w:space="18" w:color="auto"/>
      </w:pBdr>
      <w:spacing w:before="360"/>
      <w:ind w:left="-1985"/>
    </w:pPr>
    <w:rPr>
      <w:rFonts w:ascii="Impact" w:hAnsi="Impact"/>
      <w:color w:val="FF0000"/>
      <w:spacing w:val="20"/>
      <w:sz w:val="36"/>
      <w:lang w:val="sv-SE"/>
    </w:rPr>
  </w:style>
  <w:style w:type="paragraph" w:customStyle="1" w:styleId="Ikortadrag-rubrik">
    <w:name w:val="I korta drag-rubrik"/>
    <w:basedOn w:val="Normal"/>
    <w:next w:val="Normal"/>
    <w:pPr>
      <w:spacing w:before="120"/>
    </w:pPr>
    <w:rPr>
      <w:rFonts w:ascii="Arial Black" w:hAnsi="Arial Black"/>
      <w:lang w:val="sv-SE"/>
    </w:rPr>
  </w:style>
  <w:style w:type="paragraph" w:styleId="Indholdsfortegnelse1">
    <w:name w:val="toc 1"/>
    <w:basedOn w:val="Normal"/>
    <w:next w:val="Normal"/>
    <w:autoRedefine/>
    <w:semiHidden/>
    <w:pPr>
      <w:pBdr>
        <w:bottom w:val="single" w:sz="6" w:space="1" w:color="auto"/>
      </w:pBdr>
      <w:tabs>
        <w:tab w:val="right" w:pos="7087"/>
      </w:tabs>
      <w:spacing w:before="480"/>
    </w:pPr>
    <w:rPr>
      <w:rFonts w:ascii="Arial" w:hAnsi="Arial" w:cs="Arial"/>
      <w:b/>
      <w:noProof/>
    </w:rPr>
  </w:style>
  <w:style w:type="paragraph" w:styleId="Indholdsfortegnelse2">
    <w:name w:val="toc 2"/>
    <w:basedOn w:val="Normal"/>
    <w:next w:val="Normal"/>
    <w:autoRedefine/>
    <w:semiHidden/>
    <w:pPr>
      <w:tabs>
        <w:tab w:val="right" w:pos="7087"/>
      </w:tabs>
      <w:spacing w:before="120"/>
    </w:pPr>
    <w:rPr>
      <w:rFonts w:ascii="Arial" w:hAnsi="Arial"/>
      <w:b/>
      <w:noProof/>
    </w:rPr>
  </w:style>
  <w:style w:type="paragraph" w:styleId="Indholdsfortegnelse3">
    <w:name w:val="toc 3"/>
    <w:basedOn w:val="Normal"/>
    <w:next w:val="Normal"/>
    <w:autoRedefine/>
    <w:semiHidden/>
    <w:pPr>
      <w:tabs>
        <w:tab w:val="right" w:pos="7087"/>
      </w:tabs>
      <w:spacing w:before="60"/>
    </w:pPr>
    <w:rPr>
      <w:rFonts w:ascii="Arial" w:hAnsi="Arial"/>
      <w:noProof/>
    </w:rPr>
  </w:style>
  <w:style w:type="paragraph" w:styleId="Indholdsfortegnelse4">
    <w:name w:val="toc 4"/>
    <w:basedOn w:val="Normal"/>
    <w:next w:val="Normal"/>
    <w:autoRedefine/>
    <w:semiHidden/>
    <w:pPr>
      <w:tabs>
        <w:tab w:val="right" w:pos="7087"/>
      </w:tabs>
      <w:ind w:left="660"/>
    </w:pPr>
    <w:rPr>
      <w:lang w:val="sv-SE"/>
    </w:rPr>
  </w:style>
  <w:style w:type="paragraph" w:styleId="Indholdsfortegnelse5">
    <w:name w:val="toc 5"/>
    <w:basedOn w:val="Normal"/>
    <w:next w:val="Normal"/>
    <w:autoRedefine/>
    <w:semiHidden/>
    <w:pPr>
      <w:tabs>
        <w:tab w:val="right" w:pos="7087"/>
      </w:tabs>
      <w:ind w:left="880"/>
    </w:pPr>
    <w:rPr>
      <w:lang w:val="sv-SE"/>
    </w:rPr>
  </w:style>
  <w:style w:type="paragraph" w:styleId="Indholdsfortegnelse6">
    <w:name w:val="toc 6"/>
    <w:basedOn w:val="Normal"/>
    <w:next w:val="Normal"/>
    <w:autoRedefine/>
    <w:semiHidden/>
    <w:pPr>
      <w:tabs>
        <w:tab w:val="right" w:pos="7087"/>
      </w:tabs>
      <w:ind w:left="1100"/>
    </w:pPr>
    <w:rPr>
      <w:lang w:val="sv-SE"/>
    </w:rPr>
  </w:style>
  <w:style w:type="paragraph" w:styleId="Indholdsfortegnelse7">
    <w:name w:val="toc 7"/>
    <w:basedOn w:val="Normal"/>
    <w:next w:val="Normal"/>
    <w:autoRedefine/>
    <w:semiHidden/>
    <w:pPr>
      <w:tabs>
        <w:tab w:val="right" w:pos="7087"/>
      </w:tabs>
      <w:ind w:left="1320"/>
    </w:pPr>
    <w:rPr>
      <w:lang w:val="sv-SE"/>
    </w:rPr>
  </w:style>
  <w:style w:type="paragraph" w:styleId="Indholdsfortegnelse8">
    <w:name w:val="toc 8"/>
    <w:basedOn w:val="Normal"/>
    <w:next w:val="Normal"/>
    <w:autoRedefine/>
    <w:semiHidden/>
    <w:pPr>
      <w:tabs>
        <w:tab w:val="right" w:pos="7087"/>
      </w:tabs>
      <w:ind w:left="1540"/>
    </w:pPr>
    <w:rPr>
      <w:lang w:val="sv-SE"/>
    </w:rPr>
  </w:style>
  <w:style w:type="paragraph" w:styleId="Indholdsfortegnelse9">
    <w:name w:val="toc 9"/>
    <w:basedOn w:val="Normal"/>
    <w:next w:val="Normal"/>
    <w:autoRedefine/>
    <w:semiHidden/>
    <w:pPr>
      <w:tabs>
        <w:tab w:val="right" w:pos="7087"/>
      </w:tabs>
      <w:ind w:left="1760"/>
    </w:pPr>
    <w:rPr>
      <w:lang w:val="sv-SE"/>
    </w:rPr>
  </w:style>
  <w:style w:type="paragraph" w:customStyle="1" w:styleId="Innehllrubriken">
    <w:name w:val="Innehåll (rubriken)"/>
    <w:basedOn w:val="Overskrift2"/>
    <w:next w:val="Normal"/>
    <w:pPr>
      <w:keepNext w:val="0"/>
      <w:keepLines w:val="0"/>
      <w:pageBreakBefore/>
      <w:widowControl w:val="0"/>
      <w:spacing w:before="0" w:after="0"/>
      <w:outlineLvl w:val="9"/>
    </w:pPr>
    <w:rPr>
      <w:rFonts w:ascii="Arial Black" w:hAnsi="Arial Black"/>
      <w:b w:val="0"/>
      <w:sz w:val="26"/>
      <w:lang w:val="sv-SE"/>
    </w:r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lang w:val="sv-SE"/>
    </w:rPr>
  </w:style>
  <w:style w:type="paragraph" w:customStyle="1" w:styleId="Merinformation">
    <w:name w:val="Mer information"/>
    <w:next w:val="Normal"/>
    <w:pPr>
      <w:spacing w:before="360"/>
    </w:pPr>
    <w:rPr>
      <w:rFonts w:ascii="Arial" w:hAnsi="Arial"/>
      <w:b/>
      <w:lang w:val="sv-SE"/>
    </w:rPr>
  </w:style>
  <w:style w:type="paragraph" w:customStyle="1" w:styleId="Producentmening">
    <w:name w:val="Producentmening"/>
    <w:pPr>
      <w:spacing w:before="120"/>
    </w:pPr>
    <w:rPr>
      <w:rFonts w:ascii="Arial" w:hAnsi="Arial"/>
      <w:noProof/>
    </w:rPr>
  </w:style>
  <w:style w:type="paragraph" w:customStyle="1" w:styleId="Rubrik">
    <w:name w:val="Rubrik"/>
    <w:basedOn w:val="Titel"/>
  </w:style>
  <w:style w:type="paragraph" w:customStyle="1" w:styleId="SM-nummer">
    <w:name w:val="SM-nummer"/>
    <w:next w:val="Titel"/>
    <w:pPr>
      <w:ind w:right="-987"/>
      <w:jc w:val="right"/>
    </w:pPr>
    <w:rPr>
      <w:rFonts w:ascii="Arial" w:hAnsi="Arial"/>
      <w:b/>
      <w:noProof/>
      <w:sz w:val="24"/>
    </w:rPr>
  </w:style>
  <w:style w:type="character" w:customStyle="1" w:styleId="udpunkt">
    <w:name w:val="udpunkt"/>
    <w:rPr>
      <w:rFonts w:ascii="Frutiger Cn" w:hAnsi="Frutiger Cn"/>
      <w:color w:val="000000"/>
      <w:spacing w:val="40"/>
      <w:w w:val="100"/>
      <w:sz w:val="14"/>
    </w:rPr>
  </w:style>
  <w:style w:type="paragraph" w:customStyle="1" w:styleId="NytDetail">
    <w:name w:val="NytDetail"/>
    <w:pPr>
      <w:tabs>
        <w:tab w:val="left" w:pos="-2835"/>
        <w:tab w:val="left" w:pos="-1985"/>
      </w:tabs>
      <w:spacing w:before="80"/>
      <w:ind w:left="-3005"/>
    </w:pPr>
    <w:rPr>
      <w:rFonts w:ascii="Frutiger" w:hAnsi="Frutiger"/>
      <w:iCs/>
      <w:sz w:val="18"/>
      <w:lang w:eastAsia="en-US"/>
    </w:rPr>
  </w:style>
  <w:style w:type="paragraph" w:customStyle="1" w:styleId="NytFra">
    <w:name w:val="NytFra"/>
    <w:next w:val="NytDetail"/>
    <w:pPr>
      <w:spacing w:after="480"/>
      <w:ind w:left="-3005"/>
    </w:pPr>
    <w:rPr>
      <w:rFonts w:ascii="Frutiger" w:hAnsi="Frutiger"/>
      <w:b/>
      <w:i/>
      <w:caps/>
      <w:sz w:val="24"/>
      <w:lang w:eastAsia="en-US"/>
    </w:rPr>
  </w:style>
  <w:style w:type="paragraph" w:customStyle="1" w:styleId="NytHeader">
    <w:name w:val="NytHeader"/>
    <w:next w:val="NytFra"/>
    <w:pPr>
      <w:spacing w:before="720" w:line="860" w:lineRule="exact"/>
      <w:ind w:left="-3005"/>
    </w:pPr>
    <w:rPr>
      <w:rFonts w:ascii="Frutiger" w:hAnsi="Frutiger"/>
      <w:b/>
      <w:i/>
      <w:caps/>
      <w:color w:val="008000"/>
      <w:sz w:val="188"/>
      <w:lang w:eastAsia="en-US"/>
    </w:rPr>
  </w:style>
  <w:style w:type="paragraph" w:customStyle="1" w:styleId="abstract">
    <w:name w:val="abstract"/>
    <w:basedOn w:val="Normal"/>
    <w:pPr>
      <w:pBdr>
        <w:top w:val="single" w:sz="6" w:space="4" w:color="000000"/>
        <w:bottom w:val="single" w:sz="6" w:space="4" w:color="000000"/>
      </w:pBdr>
    </w:pPr>
    <w:rPr>
      <w:rFonts w:ascii="Arial Narrow" w:hAnsi="Arial Narrow"/>
      <w:sz w:val="18"/>
    </w:rPr>
  </w:style>
  <w:style w:type="character" w:styleId="Hyperlink">
    <w:name w:val="Hyperlink"/>
    <w:rPr>
      <w:color w:val="auto"/>
      <w:u w:val="single"/>
    </w:rPr>
  </w:style>
  <w:style w:type="character" w:styleId="BesgtLink">
    <w:name w:val="FollowedHyperlink"/>
    <w:rPr>
      <w:color w:val="auto"/>
      <w:u w:val="single"/>
    </w:rPr>
  </w:style>
  <w:style w:type="character" w:styleId="HTML-variabel">
    <w:name w:val="HTML Variable"/>
    <w:rPr>
      <w:i/>
      <w:iCs/>
    </w:rPr>
  </w:style>
  <w:style w:type="paragraph" w:styleId="Brdtekst">
    <w:name w:val="Body Text"/>
    <w:basedOn w:val="Normal"/>
    <w:rPr>
      <w:color w:val="FF0000"/>
    </w:rPr>
  </w:style>
  <w:style w:type="paragraph" w:styleId="Markeringsbobletekst">
    <w:name w:val="Balloon Text"/>
    <w:basedOn w:val="Normal"/>
    <w:semiHidden/>
    <w:rsid w:val="009C23FE"/>
    <w:rPr>
      <w:rFonts w:ascii="Tahoma" w:hAnsi="Tahoma" w:cs="Tahoma"/>
      <w:sz w:val="16"/>
      <w:szCs w:val="16"/>
    </w:rPr>
  </w:style>
  <w:style w:type="paragraph" w:customStyle="1" w:styleId="MellemRubrik">
    <w:name w:val="MellemRubrik"/>
    <w:basedOn w:val="Overskrift2"/>
    <w:rsid w:val="001645D4"/>
    <w:pPr>
      <w:spacing w:before="0" w:after="20"/>
      <w:jc w:val="left"/>
    </w:pPr>
    <w:rPr>
      <w:sz w:val="20"/>
    </w:rPr>
  </w:style>
  <w:style w:type="character" w:customStyle="1" w:styleId="TitelTegn">
    <w:name w:val="Titel Tegn"/>
    <w:link w:val="Titel"/>
    <w:rsid w:val="00B32D14"/>
    <w:rPr>
      <w:rFonts w:ascii="Arial" w:hAnsi="Arial" w:cs="Arial"/>
      <w:b/>
      <w:sz w:val="30"/>
    </w:rPr>
  </w:style>
  <w:style w:type="table" w:styleId="Tabel-Gitter">
    <w:name w:val="Table Grid"/>
    <w:basedOn w:val="Tabel-Normal"/>
    <w:uiPriority w:val="59"/>
    <w:rsid w:val="00740B9E"/>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kilde">
    <w:name w:val="Figurkilde"/>
    <w:basedOn w:val="Normal"/>
    <w:rsid w:val="00AF3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8665">
      <w:bodyDiv w:val="1"/>
      <w:marLeft w:val="0"/>
      <w:marRight w:val="0"/>
      <w:marTop w:val="0"/>
      <w:marBottom w:val="0"/>
      <w:divBdr>
        <w:top w:val="none" w:sz="0" w:space="0" w:color="auto"/>
        <w:left w:val="none" w:sz="0" w:space="0" w:color="auto"/>
        <w:bottom w:val="none" w:sz="0" w:space="0" w:color="auto"/>
        <w:right w:val="none" w:sz="0" w:space="0" w:color="auto"/>
      </w:divBdr>
    </w:div>
    <w:div w:id="352003977">
      <w:bodyDiv w:val="1"/>
      <w:marLeft w:val="0"/>
      <w:marRight w:val="0"/>
      <w:marTop w:val="0"/>
      <w:marBottom w:val="0"/>
      <w:divBdr>
        <w:top w:val="none" w:sz="0" w:space="0" w:color="auto"/>
        <w:left w:val="none" w:sz="0" w:space="0" w:color="auto"/>
        <w:bottom w:val="none" w:sz="0" w:space="0" w:color="auto"/>
        <w:right w:val="none" w:sz="0" w:space="0" w:color="auto"/>
      </w:divBdr>
      <w:divsChild>
        <w:div w:id="1028871011">
          <w:marLeft w:val="0"/>
          <w:marRight w:val="0"/>
          <w:marTop w:val="0"/>
          <w:marBottom w:val="0"/>
          <w:divBdr>
            <w:top w:val="none" w:sz="0" w:space="0" w:color="auto"/>
            <w:left w:val="none" w:sz="0" w:space="0" w:color="auto"/>
            <w:bottom w:val="none" w:sz="0" w:space="0" w:color="auto"/>
            <w:right w:val="none" w:sz="0" w:space="0" w:color="auto"/>
          </w:divBdr>
          <w:divsChild>
            <w:div w:id="1725712814">
              <w:marLeft w:val="150"/>
              <w:marRight w:val="150"/>
              <w:marTop w:val="150"/>
              <w:marBottom w:val="150"/>
              <w:divBdr>
                <w:top w:val="none" w:sz="0" w:space="0" w:color="auto"/>
                <w:left w:val="none" w:sz="0" w:space="0" w:color="auto"/>
                <w:bottom w:val="none" w:sz="0" w:space="0" w:color="auto"/>
                <w:right w:val="none" w:sz="0" w:space="0" w:color="auto"/>
              </w:divBdr>
              <w:divsChild>
                <w:div w:id="1172794498">
                  <w:marLeft w:val="0"/>
                  <w:marRight w:val="0"/>
                  <w:marTop w:val="0"/>
                  <w:marBottom w:val="0"/>
                  <w:divBdr>
                    <w:top w:val="single" w:sz="6" w:space="0" w:color="999999"/>
                    <w:left w:val="single" w:sz="6" w:space="0" w:color="999999"/>
                    <w:bottom w:val="single" w:sz="6" w:space="0" w:color="999999"/>
                    <w:right w:val="single" w:sz="6" w:space="0" w:color="999999"/>
                  </w:divBdr>
                  <w:divsChild>
                    <w:div w:id="1876573854">
                      <w:marLeft w:val="0"/>
                      <w:marRight w:val="0"/>
                      <w:marTop w:val="0"/>
                      <w:marBottom w:val="0"/>
                      <w:divBdr>
                        <w:top w:val="none" w:sz="0" w:space="0" w:color="auto"/>
                        <w:left w:val="none" w:sz="0" w:space="0" w:color="auto"/>
                        <w:bottom w:val="none" w:sz="0" w:space="0" w:color="auto"/>
                        <w:right w:val="none" w:sz="0" w:space="0" w:color="auto"/>
                      </w:divBdr>
                      <w:divsChild>
                        <w:div w:id="281425993">
                          <w:marLeft w:val="0"/>
                          <w:marRight w:val="0"/>
                          <w:marTop w:val="0"/>
                          <w:marBottom w:val="0"/>
                          <w:divBdr>
                            <w:top w:val="none" w:sz="0" w:space="0" w:color="auto"/>
                            <w:left w:val="none" w:sz="0" w:space="0" w:color="auto"/>
                            <w:bottom w:val="none" w:sz="0" w:space="0" w:color="auto"/>
                            <w:right w:val="none" w:sz="0" w:space="0" w:color="auto"/>
                          </w:divBdr>
                          <w:divsChild>
                            <w:div w:id="122861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3476">
      <w:bodyDiv w:val="1"/>
      <w:marLeft w:val="0"/>
      <w:marRight w:val="0"/>
      <w:marTop w:val="0"/>
      <w:marBottom w:val="0"/>
      <w:divBdr>
        <w:top w:val="none" w:sz="0" w:space="0" w:color="auto"/>
        <w:left w:val="none" w:sz="0" w:space="0" w:color="auto"/>
        <w:bottom w:val="none" w:sz="0" w:space="0" w:color="auto"/>
        <w:right w:val="none" w:sz="0" w:space="0" w:color="auto"/>
      </w:divBdr>
    </w:div>
    <w:div w:id="1722436248">
      <w:bodyDiv w:val="1"/>
      <w:marLeft w:val="0"/>
      <w:marRight w:val="0"/>
      <w:marTop w:val="0"/>
      <w:marBottom w:val="0"/>
      <w:divBdr>
        <w:top w:val="none" w:sz="0" w:space="0" w:color="auto"/>
        <w:left w:val="none" w:sz="0" w:space="0" w:color="auto"/>
        <w:bottom w:val="none" w:sz="0" w:space="0" w:color="auto"/>
        <w:right w:val="none" w:sz="0" w:space="0" w:color="auto"/>
      </w:divBdr>
    </w:div>
    <w:div w:id="1897858616">
      <w:bodyDiv w:val="1"/>
      <w:marLeft w:val="0"/>
      <w:marRight w:val="0"/>
      <w:marTop w:val="0"/>
      <w:marBottom w:val="0"/>
      <w:divBdr>
        <w:top w:val="none" w:sz="0" w:space="0" w:color="auto"/>
        <w:left w:val="none" w:sz="0" w:space="0" w:color="auto"/>
        <w:bottom w:val="none" w:sz="0" w:space="0" w:color="auto"/>
        <w:right w:val="none" w:sz="0" w:space="0" w:color="auto"/>
      </w:divBdr>
    </w:div>
    <w:div w:id="1914313441">
      <w:bodyDiv w:val="1"/>
      <w:marLeft w:val="0"/>
      <w:marRight w:val="0"/>
      <w:marTop w:val="0"/>
      <w:marBottom w:val="0"/>
      <w:divBdr>
        <w:top w:val="none" w:sz="0" w:space="0" w:color="auto"/>
        <w:left w:val="none" w:sz="0" w:space="0" w:color="auto"/>
        <w:bottom w:val="none" w:sz="0" w:space="0" w:color="auto"/>
        <w:right w:val="none" w:sz="0" w:space="0" w:color="auto"/>
      </w:divBdr>
    </w:div>
    <w:div w:id="1961256624">
      <w:bodyDiv w:val="1"/>
      <w:marLeft w:val="0"/>
      <w:marRight w:val="0"/>
      <w:marTop w:val="0"/>
      <w:marBottom w:val="0"/>
      <w:divBdr>
        <w:top w:val="none" w:sz="0" w:space="0" w:color="auto"/>
        <w:left w:val="none" w:sz="0" w:space="0" w:color="auto"/>
        <w:bottom w:val="none" w:sz="0" w:space="0" w:color="auto"/>
        <w:right w:val="none" w:sz="0" w:space="0" w:color="auto"/>
      </w:divBdr>
    </w:div>
    <w:div w:id="2069527973">
      <w:bodyDiv w:val="1"/>
      <w:marLeft w:val="0"/>
      <w:marRight w:val="0"/>
      <w:marTop w:val="0"/>
      <w:marBottom w:val="0"/>
      <w:divBdr>
        <w:top w:val="none" w:sz="0" w:space="0" w:color="auto"/>
        <w:left w:val="none" w:sz="0" w:space="0" w:color="auto"/>
        <w:bottom w:val="none" w:sz="0" w:space="0" w:color="auto"/>
        <w:right w:val="none" w:sz="0" w:space="0" w:color="auto"/>
      </w:divBdr>
    </w:div>
    <w:div w:id="2070180072">
      <w:bodyDiv w:val="1"/>
      <w:marLeft w:val="0"/>
      <w:marRight w:val="0"/>
      <w:marTop w:val="0"/>
      <w:marBottom w:val="0"/>
      <w:divBdr>
        <w:top w:val="none" w:sz="0" w:space="0" w:color="auto"/>
        <w:left w:val="none" w:sz="0" w:space="0" w:color="auto"/>
        <w:bottom w:val="none" w:sz="0" w:space="0" w:color="auto"/>
        <w:right w:val="none" w:sz="0" w:space="0" w:color="auto"/>
      </w:divBdr>
      <w:divsChild>
        <w:div w:id="1769082117">
          <w:marLeft w:val="0"/>
          <w:marRight w:val="0"/>
          <w:marTop w:val="0"/>
          <w:marBottom w:val="0"/>
          <w:divBdr>
            <w:top w:val="none" w:sz="0" w:space="0" w:color="auto"/>
            <w:left w:val="none" w:sz="0" w:space="0" w:color="auto"/>
            <w:bottom w:val="none" w:sz="0" w:space="0" w:color="auto"/>
            <w:right w:val="none" w:sz="0" w:space="0" w:color="auto"/>
          </w:divBdr>
          <w:divsChild>
            <w:div w:id="756827407">
              <w:marLeft w:val="150"/>
              <w:marRight w:val="150"/>
              <w:marTop w:val="150"/>
              <w:marBottom w:val="150"/>
              <w:divBdr>
                <w:top w:val="none" w:sz="0" w:space="0" w:color="auto"/>
                <w:left w:val="none" w:sz="0" w:space="0" w:color="auto"/>
                <w:bottom w:val="none" w:sz="0" w:space="0" w:color="auto"/>
                <w:right w:val="none" w:sz="0" w:space="0" w:color="auto"/>
              </w:divBdr>
              <w:divsChild>
                <w:div w:id="430668136">
                  <w:marLeft w:val="0"/>
                  <w:marRight w:val="0"/>
                  <w:marTop w:val="0"/>
                  <w:marBottom w:val="0"/>
                  <w:divBdr>
                    <w:top w:val="single" w:sz="6" w:space="0" w:color="999999"/>
                    <w:left w:val="single" w:sz="6" w:space="0" w:color="999999"/>
                    <w:bottom w:val="single" w:sz="6" w:space="0" w:color="999999"/>
                    <w:right w:val="single" w:sz="6" w:space="0" w:color="999999"/>
                  </w:divBdr>
                  <w:divsChild>
                    <w:div w:id="1890339702">
                      <w:marLeft w:val="0"/>
                      <w:marRight w:val="0"/>
                      <w:marTop w:val="0"/>
                      <w:marBottom w:val="0"/>
                      <w:divBdr>
                        <w:top w:val="none" w:sz="0" w:space="0" w:color="auto"/>
                        <w:left w:val="none" w:sz="0" w:space="0" w:color="auto"/>
                        <w:bottom w:val="none" w:sz="0" w:space="0" w:color="auto"/>
                        <w:right w:val="none" w:sz="0" w:space="0" w:color="auto"/>
                      </w:divBdr>
                      <w:divsChild>
                        <w:div w:id="381753258">
                          <w:marLeft w:val="0"/>
                          <w:marRight w:val="0"/>
                          <w:marTop w:val="0"/>
                          <w:marBottom w:val="0"/>
                          <w:divBdr>
                            <w:top w:val="none" w:sz="0" w:space="0" w:color="auto"/>
                            <w:left w:val="none" w:sz="0" w:space="0" w:color="auto"/>
                            <w:bottom w:val="none" w:sz="0" w:space="0" w:color="auto"/>
                            <w:right w:val="none" w:sz="0" w:space="0" w:color="auto"/>
                          </w:divBdr>
                          <w:divsChild>
                            <w:div w:id="11148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Excel_97-2003-regneark.xls"/></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FA5A1-6D9F-4320-8ED6-C5F7EFC0E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2</TotalTime>
  <Pages>3</Pages>
  <Words>876</Words>
  <Characters>6308</Characters>
  <Application>Microsoft Office Word</Application>
  <DocSecurity>0</DocSecurity>
  <Lines>1051</Lines>
  <Paragraphs>718</Paragraphs>
  <ScaleCrop>false</ScaleCrop>
  <HeadingPairs>
    <vt:vector size="2" baseType="variant">
      <vt:variant>
        <vt:lpstr>Titel</vt:lpstr>
      </vt:variant>
      <vt:variant>
        <vt:i4>1</vt:i4>
      </vt:variant>
    </vt:vector>
  </HeadingPairs>
  <TitlesOfParts>
    <vt:vector size="1" baseType="lpstr">
      <vt:lpstr>Den offentlige sektors finanser</vt:lpstr>
    </vt:vector>
  </TitlesOfParts>
  <Company>Danmarks Statistik</Company>
  <LinksUpToDate>false</LinksUpToDate>
  <CharactersWithSpaces>6466</CharactersWithSpaces>
  <SharedDoc>false</SharedDoc>
  <HLinks>
    <vt:vector size="36" baseType="variant">
      <vt:variant>
        <vt:i4>196690</vt:i4>
      </vt:variant>
      <vt:variant>
        <vt:i4>18</vt:i4>
      </vt:variant>
      <vt:variant>
        <vt:i4>0</vt:i4>
      </vt:variant>
      <vt:variant>
        <vt:i4>5</vt:i4>
      </vt:variant>
      <vt:variant>
        <vt:lpwstr>http://www.dst.dk/varedeklaration/888</vt:lpwstr>
      </vt:variant>
      <vt:variant>
        <vt:lpwstr/>
      </vt:variant>
      <vt:variant>
        <vt:i4>917558</vt:i4>
      </vt:variant>
      <vt:variant>
        <vt:i4>15</vt:i4>
      </vt:variant>
      <vt:variant>
        <vt:i4>0</vt:i4>
      </vt:variant>
      <vt:variant>
        <vt:i4>5</vt:i4>
      </vt:variant>
      <vt:variant>
        <vt:lpwstr>mailto:mau@dst.dk</vt:lpwstr>
      </vt:variant>
      <vt:variant>
        <vt:lpwstr/>
      </vt:variant>
      <vt:variant>
        <vt:i4>2031666</vt:i4>
      </vt:variant>
      <vt:variant>
        <vt:i4>12</vt:i4>
      </vt:variant>
      <vt:variant>
        <vt:i4>0</vt:i4>
      </vt:variant>
      <vt:variant>
        <vt:i4>5</vt:i4>
      </vt:variant>
      <vt:variant>
        <vt:lpwstr>mailto:jec@dst.dk</vt:lpwstr>
      </vt:variant>
      <vt:variant>
        <vt:lpwstr/>
      </vt:variant>
      <vt:variant>
        <vt:i4>1376309</vt:i4>
      </vt:variant>
      <vt:variant>
        <vt:i4>9</vt:i4>
      </vt:variant>
      <vt:variant>
        <vt:i4>0</vt:i4>
      </vt:variant>
      <vt:variant>
        <vt:i4>5</vt:i4>
      </vt:variant>
      <vt:variant>
        <vt:lpwstr>mailto:mbn@dst.dk</vt:lpwstr>
      </vt:variant>
      <vt:variant>
        <vt:lpwstr/>
      </vt:variant>
      <vt:variant>
        <vt:i4>7209018</vt:i4>
      </vt:variant>
      <vt:variant>
        <vt:i4>6</vt:i4>
      </vt:variant>
      <vt:variant>
        <vt:i4>0</vt:i4>
      </vt:variant>
      <vt:variant>
        <vt:i4>5</vt:i4>
      </vt:variant>
      <vt:variant>
        <vt:lpwstr>http://www.dst.dk/stattabel/451</vt:lpwstr>
      </vt:variant>
      <vt:variant>
        <vt:lpwstr/>
      </vt:variant>
      <vt:variant>
        <vt:i4>3080243</vt:i4>
      </vt:variant>
      <vt:variant>
        <vt:i4>0</vt:i4>
      </vt:variant>
      <vt:variant>
        <vt:i4>0</vt:i4>
      </vt:variant>
      <vt:variant>
        <vt:i4>5</vt:i4>
      </vt:variant>
      <vt:variant>
        <vt:lpwstr>http://www.dst.dk/nytudg/16025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offentlige sektors finanser</dc:title>
  <dc:subject>Offentlige finanser</dc:subject>
  <dc:creator>MBN@dst.dk</dc:creator>
  <cp:lastModifiedBy>Helene Gjermansen</cp:lastModifiedBy>
  <cp:revision>3</cp:revision>
  <cp:lastPrinted>2019-11-29T12:27:00Z</cp:lastPrinted>
  <dcterms:created xsi:type="dcterms:W3CDTF">2021-11-12T09:28:00Z</dcterms:created>
  <dcterms:modified xsi:type="dcterms:W3CDTF">2021-11-12T09:30:00Z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2</vt:lpwstr>
  </property>
  <property fmtid="{D5CDD505-2E9C-101B-9397-08002B2CF9AE}" pid="3" name="publflow">
    <vt:lpwstr>5</vt:lpwstr>
  </property>
  <property fmtid="{D5CDD505-2E9C-101B-9397-08002B2CF9AE}" pid="4" name="aktnr">
    <vt:lpwstr>1810</vt:lpwstr>
  </property>
  <property fmtid="{D5CDD505-2E9C-101B-9397-08002B2CF9AE}" pid="5" name="delakt">
    <vt:lpwstr>10</vt:lpwstr>
  </property>
  <property fmtid="{D5CDD505-2E9C-101B-9397-08002B2CF9AE}" pid="6" name="refdato">
    <vt:lpwstr>31-12-2016</vt:lpwstr>
  </property>
  <property fmtid="{D5CDD505-2E9C-101B-9397-08002B2CF9AE}" pid="7" name="levdato">
    <vt:lpwstr>01-12-2006</vt:lpwstr>
  </property>
  <property fmtid="{D5CDD505-2E9C-101B-9397-08002B2CF9AE}" pid="8" name="varedeklaration">
    <vt:lpwstr>Varedeklarationen er opdateret, dvs. indholdet er aktuelt og gældende*;;Den offentlige sektors finanser 2011;anser 2011_x000d_
R;ingen</vt:lpwstr>
  </property>
</Properties>
</file>