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22" w:rsidRPr="00E3320C" w:rsidRDefault="005B464C" w:rsidP="00CD3922">
      <w:pPr>
        <w:pStyle w:val="MellemRubrik"/>
        <w:spacing w:line="264" w:lineRule="auto"/>
        <w:rPr>
          <w:sz w:val="30"/>
        </w:rPr>
      </w:pPr>
      <w:r>
        <w:rPr>
          <w:sz w:val="30"/>
        </w:rPr>
        <w:t>St</w:t>
      </w:r>
      <w:r w:rsidR="00C70408">
        <w:rPr>
          <w:sz w:val="30"/>
        </w:rPr>
        <w:t>igning i</w:t>
      </w:r>
      <w:r>
        <w:rPr>
          <w:sz w:val="30"/>
        </w:rPr>
        <w:t xml:space="preserve"> </w:t>
      </w:r>
      <w:r w:rsidR="00C70408" w:rsidRPr="00C70408">
        <w:rPr>
          <w:sz w:val="30"/>
        </w:rPr>
        <w:t>ressourceeffektiv</w:t>
      </w:r>
      <w:r w:rsidR="00C70408">
        <w:rPr>
          <w:sz w:val="30"/>
        </w:rPr>
        <w:t>itet</w:t>
      </w:r>
    </w:p>
    <w:p w:rsidR="00CD3922" w:rsidRDefault="00CD3922" w:rsidP="00CD3922">
      <w:pPr>
        <w:overflowPunct/>
        <w:jc w:val="left"/>
        <w:textAlignment w:val="auto"/>
      </w:pPr>
    </w:p>
    <w:p w:rsidR="00AC29F8" w:rsidRDefault="009214B4" w:rsidP="0033207B">
      <w:pPr>
        <w:spacing w:line="264" w:lineRule="auto"/>
      </w:pPr>
      <w:r>
        <w:t xml:space="preserve">Dansk økonomi er blevet mere </w:t>
      </w:r>
      <w:r w:rsidRPr="009214B4">
        <w:t>ressourceeffektiv</w:t>
      </w:r>
      <w:r>
        <w:t xml:space="preserve">. </w:t>
      </w:r>
      <w:r w:rsidR="00C70408">
        <w:t xml:space="preserve"> Fra 2000 til 2012 er BNP steget med 7 pct.</w:t>
      </w:r>
      <w:r w:rsidR="00AC29F8">
        <w:t>,</w:t>
      </w:r>
      <w:r w:rsidR="00C70408">
        <w:t xml:space="preserve"> mens materialeinputtet </w:t>
      </w:r>
      <w:r w:rsidR="00C80EEF">
        <w:t>m</w:t>
      </w:r>
      <w:bookmarkStart w:id="0" w:name="_GoBack"/>
      <w:bookmarkEnd w:id="0"/>
      <w:r w:rsidR="00C70408">
        <w:t xml:space="preserve">er faldet med 7 pct. </w:t>
      </w:r>
      <w:r w:rsidR="00800962">
        <w:t xml:space="preserve">Denne udvikling dækker over at BNP og materialeinputtet begge steg med henholdsvis 11 og 8 pct. </w:t>
      </w:r>
      <w:r w:rsidR="00AC29F8">
        <w:t>fra 2000 til 2008.</w:t>
      </w:r>
      <w:r w:rsidR="00800962">
        <w:t xml:space="preserve"> </w:t>
      </w:r>
      <w:r w:rsidR="00AC29F8">
        <w:t xml:space="preserve">Med ressourceeffektivitet menes </w:t>
      </w:r>
      <w:r w:rsidR="00AC29F8" w:rsidRPr="0033207B">
        <w:t>at skabe mere værdi ved at anvende færre materialer</w:t>
      </w:r>
      <w:r w:rsidR="00AC29F8">
        <w:t xml:space="preserve"> (højere BNP per materialeinput). </w:t>
      </w:r>
    </w:p>
    <w:p w:rsidR="00AC29F8" w:rsidRDefault="00AC29F8" w:rsidP="0033207B">
      <w:pPr>
        <w:spacing w:line="264" w:lineRule="auto"/>
      </w:pPr>
    </w:p>
    <w:p w:rsidR="0033207B" w:rsidRPr="001B659E" w:rsidRDefault="00800962" w:rsidP="0033207B">
      <w:pPr>
        <w:spacing w:line="264" w:lineRule="auto"/>
      </w:pPr>
      <w:r>
        <w:t>Med krisens indtruffen</w:t>
      </w:r>
      <w:r w:rsidR="0033207B">
        <w:t xml:space="preserve"> var der imidlertid </w:t>
      </w:r>
      <w:r w:rsidR="00AC29F8">
        <w:t xml:space="preserve">et fald </w:t>
      </w:r>
      <w:r w:rsidR="0033207B">
        <w:t xml:space="preserve">i materialeinputtet på 16 pct. </w:t>
      </w:r>
      <w:r w:rsidR="0033207B" w:rsidRPr="0033207B">
        <w:t xml:space="preserve">Det var primært </w:t>
      </w:r>
      <w:r w:rsidR="00AC29F8">
        <w:t>inputtet</w:t>
      </w:r>
      <w:r w:rsidR="0033207B" w:rsidRPr="0033207B">
        <w:t xml:space="preserve"> af de metalliske mineraler, de ikke-metalliske mineraler og de fossile energikilder der faldt kraftigt.</w:t>
      </w:r>
      <w:r w:rsidR="0033207B">
        <w:t xml:space="preserve"> Materialeinputtet er dog begyndt at stige igen fra 2011 som følge af den økonomiske udvikling, og det er i</w:t>
      </w:r>
      <w:r w:rsidR="0033207B" w:rsidRPr="001B659E">
        <w:t>sær brugen af m</w:t>
      </w:r>
      <w:r w:rsidR="0033207B">
        <w:t>aterialetyperne sand og grus</w:t>
      </w:r>
      <w:r w:rsidR="0033207B" w:rsidRPr="001B659E">
        <w:t xml:space="preserve"> er vokset i årene 2011 og 2012</w:t>
      </w:r>
      <w:r w:rsidR="0033207B">
        <w:t>.</w:t>
      </w:r>
      <w:r w:rsidR="0033207B" w:rsidRPr="001B659E">
        <w:t xml:space="preserve"> Bru</w:t>
      </w:r>
      <w:r w:rsidR="0033207B">
        <w:softHyphen/>
      </w:r>
      <w:r w:rsidR="0033207B" w:rsidRPr="001B659E">
        <w:t xml:space="preserve">gen af </w:t>
      </w:r>
      <w:r w:rsidR="0033207B">
        <w:t>metalliske mineraler er også ste</w:t>
      </w:r>
      <w:r w:rsidR="0033207B" w:rsidRPr="001B659E">
        <w:t>ge</w:t>
      </w:r>
      <w:r w:rsidR="0033207B">
        <w:t>t</w:t>
      </w:r>
      <w:r w:rsidR="0033207B" w:rsidRPr="001B659E">
        <w:t xml:space="preserve">, mens anvendelsen </w:t>
      </w:r>
      <w:r w:rsidR="0033207B">
        <w:t>kul og olie er faldet</w:t>
      </w:r>
      <w:r w:rsidR="0033207B" w:rsidRPr="001B659E">
        <w:t>.</w:t>
      </w:r>
    </w:p>
    <w:p w:rsidR="0033207B" w:rsidRDefault="0033207B" w:rsidP="00CD3922">
      <w:pPr>
        <w:overflowPunct/>
        <w:jc w:val="left"/>
        <w:textAlignment w:val="auto"/>
      </w:pPr>
    </w:p>
    <w:p w:rsidR="00A126D0" w:rsidRDefault="00A126D0" w:rsidP="00A126D0">
      <w:pPr>
        <w:rPr>
          <w:rFonts w:ascii="JCOAI O+ Charter ITC" w:hAnsi="JCOAI O+ Charter ITC" w:cs="JCOAI O+ Charter ITC"/>
          <w:color w:val="000000"/>
        </w:rPr>
      </w:pPr>
      <w:r w:rsidRPr="00A126D0">
        <w:rPr>
          <w:rFonts w:ascii="Arial" w:hAnsi="Arial" w:cs="Arial"/>
          <w:b/>
        </w:rPr>
        <w:t xml:space="preserve">Udviklingen i </w:t>
      </w:r>
      <w:r>
        <w:rPr>
          <w:rFonts w:ascii="Arial" w:hAnsi="Arial" w:cs="Arial"/>
          <w:b/>
        </w:rPr>
        <w:t>dansk m</w:t>
      </w:r>
      <w:r w:rsidRPr="00CD3922">
        <w:rPr>
          <w:rFonts w:ascii="Arial" w:hAnsi="Arial" w:cs="Arial"/>
          <w:b/>
        </w:rPr>
        <w:t>aterialeinput</w:t>
      </w:r>
      <w:r>
        <w:rPr>
          <w:rFonts w:ascii="Arial" w:hAnsi="Arial" w:cs="Arial"/>
          <w:b/>
        </w:rPr>
        <w:t xml:space="preserve"> og BNP</w:t>
      </w:r>
    </w:p>
    <w:p w:rsidR="00CD3922" w:rsidRDefault="00A126D0" w:rsidP="00A126D0">
      <w:pPr>
        <w:pStyle w:val="MellemRubrik"/>
        <w:pBdr>
          <w:top w:val="single" w:sz="6" w:space="0" w:color="0091D4"/>
          <w:bottom w:val="single" w:sz="6" w:space="0" w:color="0091D4"/>
        </w:pBdr>
        <w:spacing w:line="264" w:lineRule="auto"/>
      </w:pPr>
      <w:r>
        <w:rPr>
          <w:noProof/>
        </w:rPr>
        <w:drawing>
          <wp:inline distT="0" distB="0" distL="0" distR="0">
            <wp:extent cx="4675505" cy="360172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22" w:rsidRDefault="00CD3922" w:rsidP="00CD3922">
      <w:pPr>
        <w:pStyle w:val="MellemRubrik"/>
        <w:spacing w:line="264" w:lineRule="auto"/>
      </w:pPr>
    </w:p>
    <w:p w:rsidR="00CD3922" w:rsidRDefault="00C55A13" w:rsidP="0019378A">
      <w:pPr>
        <w:rPr>
          <w:rFonts w:ascii="JCOAI O+ Charter ITC" w:hAnsi="JCOAI O+ Charter ITC" w:cs="JCOAI O+ Charter ITC"/>
          <w:color w:val="000000"/>
        </w:rPr>
      </w:pPr>
      <w:r>
        <w:rPr>
          <w:rFonts w:ascii="Arial" w:hAnsi="Arial" w:cs="Arial"/>
          <w:b/>
        </w:rPr>
        <w:t>Dansk m</w:t>
      </w:r>
      <w:r w:rsidRPr="00CD3922">
        <w:rPr>
          <w:rFonts w:ascii="Arial" w:hAnsi="Arial" w:cs="Arial"/>
          <w:b/>
        </w:rPr>
        <w:t>aterialeinput</w:t>
      </w:r>
    </w:p>
    <w:p w:rsidR="00CD3922" w:rsidRDefault="00CD3922" w:rsidP="00CD3922">
      <w:pPr>
        <w:rPr>
          <w:rFonts w:ascii="JCOAI O+ Charter ITC" w:hAnsi="JCOAI O+ Charter ITC" w:cs="JCOAI O+ Charter ITC"/>
          <w:color w:val="000000"/>
        </w:rPr>
      </w:pPr>
      <w:r w:rsidRPr="00C55A13">
        <w:t>Materialeinputtet svarede til 28 tons pr. indbygger i 2012. Til sammenligning svarede inputtet i 2008 til 34</w:t>
      </w:r>
      <w:r w:rsidR="00970FE5">
        <w:t xml:space="preserve"> tons pr. person før den økonomiske krise begyndte. </w:t>
      </w:r>
    </w:p>
    <w:p w:rsidR="00CD3922" w:rsidRDefault="000C452D" w:rsidP="00CD3922">
      <w:pPr>
        <w:spacing w:line="264" w:lineRule="auto"/>
      </w:pPr>
      <w:r w:rsidRPr="000C452D">
        <w:t>Dan</w:t>
      </w:r>
      <w:r w:rsidR="00FE640E">
        <w:t>sk</w:t>
      </w:r>
      <w:r w:rsidRPr="000C452D">
        <w:t xml:space="preserve"> materialeinput </w:t>
      </w:r>
      <w:r>
        <w:t>består</w:t>
      </w:r>
      <w:r w:rsidRPr="000C452D">
        <w:t xml:space="preserve"> af den danske ressourceindvinding</w:t>
      </w:r>
      <w:r>
        <w:t xml:space="preserve"> samt</w:t>
      </w:r>
      <w:r w:rsidRPr="000C452D">
        <w:t xml:space="preserve"> impo</w:t>
      </w:r>
      <w:r>
        <w:t>rt af materialer fra omverdenen.</w:t>
      </w:r>
      <w:r w:rsidRPr="000C452D">
        <w:t xml:space="preserve"> Den danske indvinding stod i 20</w:t>
      </w:r>
      <w:r>
        <w:t>12</w:t>
      </w:r>
      <w:r w:rsidRPr="000C452D">
        <w:t xml:space="preserve"> for 6</w:t>
      </w:r>
      <w:r>
        <w:t>3</w:t>
      </w:r>
      <w:r w:rsidRPr="000C452D">
        <w:t xml:space="preserve"> pct. af materialeinputtet.</w:t>
      </w:r>
    </w:p>
    <w:p w:rsidR="00CD3922" w:rsidRDefault="00CD3922" w:rsidP="00A72CE6">
      <w:pPr>
        <w:spacing w:line="264" w:lineRule="auto"/>
        <w:rPr>
          <w:rFonts w:ascii="Arial" w:hAnsi="Arial" w:cs="Arial"/>
          <w:b/>
        </w:rPr>
      </w:pPr>
    </w:p>
    <w:p w:rsidR="00ED7557" w:rsidRPr="003B2FE1" w:rsidRDefault="00ED7557" w:rsidP="00ED7557">
      <w:pPr>
        <w:overflowPunct/>
        <w:jc w:val="left"/>
        <w:textAlignment w:val="auto"/>
        <w:rPr>
          <w:rFonts w:ascii="Arial" w:hAnsi="Arial" w:cs="Arial"/>
          <w:b/>
        </w:rPr>
      </w:pPr>
      <w:r w:rsidRPr="003B2FE1">
        <w:rPr>
          <w:rFonts w:ascii="Arial" w:hAnsi="Arial" w:cs="Arial"/>
          <w:b/>
        </w:rPr>
        <w:t>Indenlandsk indvinding</w:t>
      </w:r>
    </w:p>
    <w:p w:rsidR="00ED7557" w:rsidRDefault="002B0665" w:rsidP="00ED7557">
      <w:pPr>
        <w:spacing w:line="264" w:lineRule="auto"/>
        <w:jc w:val="left"/>
      </w:pPr>
      <w:r w:rsidRPr="003B2FE1">
        <w:t>Dansk ressourceindvinding faldt med ca. 16 pct. fra 2008 til 2009 som følge af den økonomiske krise. Indvindingen af sand og grus faldt med 28 pct</w:t>
      </w:r>
      <w:r w:rsidR="003B2FE1" w:rsidRPr="003B2FE1">
        <w:t xml:space="preserve">. som følge af fald i byggeaktivitet, mens indvindingen af olie og naturgas faldt med henholdsvis 8 og 17 pct. </w:t>
      </w:r>
    </w:p>
    <w:p w:rsidR="00ED7557" w:rsidRDefault="00ED7557" w:rsidP="00A72CE6">
      <w:pPr>
        <w:spacing w:line="264" w:lineRule="auto"/>
        <w:jc w:val="left"/>
      </w:pPr>
    </w:p>
    <w:p w:rsidR="000B21F3" w:rsidRDefault="00A41DCD" w:rsidP="00A72CE6">
      <w:pPr>
        <w:pStyle w:val="MellemRubrik"/>
        <w:spacing w:line="264" w:lineRule="auto"/>
      </w:pPr>
      <w:r>
        <w:t>Import</w:t>
      </w:r>
    </w:p>
    <w:p w:rsidR="000B21F3" w:rsidRDefault="00F778C4" w:rsidP="000B7238">
      <w:pPr>
        <w:spacing w:line="264" w:lineRule="auto"/>
      </w:pPr>
      <w:r w:rsidRPr="00C55A13">
        <w:t>Den samlede i</w:t>
      </w:r>
      <w:r w:rsidR="000B7238" w:rsidRPr="00C55A13">
        <w:t>mport</w:t>
      </w:r>
      <w:r w:rsidR="003C139D">
        <w:t xml:space="preserve"> </w:t>
      </w:r>
      <w:r w:rsidR="00FB0A79" w:rsidRPr="00C55A13">
        <w:t xml:space="preserve">faldt med </w:t>
      </w:r>
      <w:r w:rsidR="004468D6" w:rsidRPr="00C55A13">
        <w:t>15 p</w:t>
      </w:r>
      <w:r w:rsidR="00FB0A79" w:rsidRPr="00C55A13">
        <w:t>c</w:t>
      </w:r>
      <w:r w:rsidR="004468D6" w:rsidRPr="00C55A13">
        <w:t>t</w:t>
      </w:r>
      <w:r w:rsidR="00FB0A79" w:rsidRPr="00C55A13">
        <w:t>. fra 2008 til 2009</w:t>
      </w:r>
      <w:r w:rsidRPr="00C55A13">
        <w:t>. Det største fald var i</w:t>
      </w:r>
      <w:r w:rsidR="00FB0A79" w:rsidRPr="00C55A13">
        <w:t xml:space="preserve">mporten af </w:t>
      </w:r>
      <w:r w:rsidR="004468D6" w:rsidRPr="00C55A13">
        <w:t>m</w:t>
      </w:r>
      <w:r w:rsidR="00FB0A79" w:rsidRPr="00C55A13">
        <w:t>etalliske mineraler</w:t>
      </w:r>
      <w:r w:rsidRPr="00C55A13">
        <w:t>, der</w:t>
      </w:r>
      <w:r w:rsidR="00FB0A79" w:rsidRPr="00C55A13">
        <w:t xml:space="preserve"> faldt med 45 pct</w:t>
      </w:r>
      <w:r w:rsidR="004468D6" w:rsidRPr="00C55A13">
        <w:t>.,</w:t>
      </w:r>
      <w:r w:rsidRPr="00C55A13">
        <w:t xml:space="preserve"> mens</w:t>
      </w:r>
      <w:r w:rsidR="004468D6" w:rsidRPr="00C55A13">
        <w:t xml:space="preserve"> de ikke-metalliske mineraler som sand og grus mm. faldt med 20 pct.</w:t>
      </w:r>
      <w:r w:rsidR="00545B9F" w:rsidRPr="00C55A13">
        <w:t xml:space="preserve"> og</w:t>
      </w:r>
      <w:r w:rsidR="004468D6" w:rsidRPr="00C55A13">
        <w:t xml:space="preserve"> importen af de fossile energikilder faldt med 1</w:t>
      </w:r>
      <w:r w:rsidRPr="00C55A13">
        <w:t>1</w:t>
      </w:r>
      <w:r w:rsidR="004468D6" w:rsidRPr="00C55A13">
        <w:t xml:space="preserve"> pct. </w:t>
      </w:r>
      <w:r w:rsidR="003C139D">
        <w:t>Importen</w:t>
      </w:r>
      <w:r w:rsidR="002B0665" w:rsidRPr="00C55A13">
        <w:t xml:space="preserve"> er d</w:t>
      </w:r>
      <w:r w:rsidR="003C139D">
        <w:t>og begyndt at stige igen i 2011 og den</w:t>
      </w:r>
      <w:r w:rsidR="004468D6" w:rsidRPr="00C55A13">
        <w:t xml:space="preserve"> </w:t>
      </w:r>
      <w:r w:rsidR="000B7238" w:rsidRPr="00C55A13">
        <w:t xml:space="preserve">udgør 37 pct. af materialeinputtet i 2012. Vægtmæssigt udgør de fossile energikilder </w:t>
      </w:r>
      <w:r w:rsidR="00545B9F" w:rsidRPr="00C55A13">
        <w:t xml:space="preserve">som olieprodukter og kul </w:t>
      </w:r>
      <w:r w:rsidR="000B7238" w:rsidRPr="00C55A13">
        <w:t xml:space="preserve">omkring </w:t>
      </w:r>
      <w:r w:rsidR="00545B9F" w:rsidRPr="00C55A13">
        <w:t xml:space="preserve">halvdelen </w:t>
      </w:r>
      <w:r w:rsidR="000B7238" w:rsidRPr="00C55A13">
        <w:t>af importen til Danmark og 17 pct. af materialeinputtet</w:t>
      </w:r>
      <w:r w:rsidR="00545B9F" w:rsidRPr="00C55A13">
        <w:t xml:space="preserve"> i 2012. </w:t>
      </w:r>
      <w:r w:rsidR="000B7238" w:rsidRPr="00C55A13">
        <w:t xml:space="preserve"> </w:t>
      </w:r>
    </w:p>
    <w:p w:rsidR="000B7238" w:rsidRDefault="000B7238" w:rsidP="00A72CE6">
      <w:pPr>
        <w:pStyle w:val="MellemRubrik"/>
        <w:spacing w:line="264" w:lineRule="auto"/>
      </w:pPr>
    </w:p>
    <w:p w:rsidR="000B21F3" w:rsidRDefault="00A41DCD" w:rsidP="00A72CE6">
      <w:pPr>
        <w:pStyle w:val="MellemRubrik"/>
        <w:spacing w:line="264" w:lineRule="auto"/>
      </w:pPr>
      <w:r>
        <w:t>Eksport</w:t>
      </w:r>
    </w:p>
    <w:p w:rsidR="005B486A" w:rsidRDefault="003B2FE1" w:rsidP="00A72CE6">
      <w:pPr>
        <w:spacing w:line="264" w:lineRule="auto"/>
      </w:pPr>
      <w:r>
        <w:t xml:space="preserve">Den samlede eksport af materialer faldt med ca. 8 pct. </w:t>
      </w:r>
      <w:r w:rsidR="000C452D">
        <w:t>fra 2008 til 2009</w:t>
      </w:r>
      <w:r>
        <w:t>. Det var primært eksporten af de m</w:t>
      </w:r>
      <w:r w:rsidRPr="003B2FE1">
        <w:t>etalliske mineraler</w:t>
      </w:r>
      <w:r>
        <w:t xml:space="preserve"> og de i</w:t>
      </w:r>
      <w:r w:rsidRPr="003B2FE1">
        <w:t>kke-metalliske mineraler</w:t>
      </w:r>
      <w:r w:rsidR="003C139D">
        <w:t>, der</w:t>
      </w:r>
      <w:r>
        <w:t xml:space="preserve"> faldt kraftigt, med henholdsvis 23 og 17 pct. </w:t>
      </w:r>
      <w:r w:rsidR="000C452D">
        <w:t>Eksporten af de f</w:t>
      </w:r>
      <w:r w:rsidR="000C452D" w:rsidRPr="000C452D">
        <w:t>ossile energikilder</w:t>
      </w:r>
      <w:r w:rsidR="000C452D">
        <w:t xml:space="preserve"> faldt med 9 pct. fra 2008 til 2009. </w:t>
      </w:r>
    </w:p>
    <w:p w:rsidR="004F47C0" w:rsidRDefault="004F47C0" w:rsidP="005B486A">
      <w:pPr>
        <w:overflowPunct/>
        <w:jc w:val="left"/>
        <w:textAlignment w:val="auto"/>
      </w:pPr>
    </w:p>
    <w:p w:rsidR="00653061" w:rsidRDefault="00653061" w:rsidP="005B486A">
      <w:pPr>
        <w:overflowPunct/>
        <w:jc w:val="left"/>
        <w:textAlignment w:val="auto"/>
      </w:pPr>
    </w:p>
    <w:p w:rsidR="0033207B" w:rsidRDefault="0033207B" w:rsidP="0033207B">
      <w:pPr>
        <w:pStyle w:val="MellemRubrik"/>
        <w:spacing w:line="264" w:lineRule="auto"/>
      </w:pPr>
      <w:r>
        <w:t>Om miljøøkonomisk regnskab for Danmark</w:t>
      </w:r>
    </w:p>
    <w:p w:rsidR="0033207B" w:rsidRDefault="0033207B" w:rsidP="0033207B">
      <w:pPr>
        <w:spacing w:line="264" w:lineRule="auto"/>
      </w:pPr>
      <w:r>
        <w:t>Oplysningerne om materialeforbrug, CO</w:t>
      </w:r>
      <w:r w:rsidRPr="002F294A">
        <w:rPr>
          <w:vertAlign w:val="subscript"/>
        </w:rPr>
        <w:t>2</w:t>
      </w:r>
      <w:r>
        <w:t>-udslip og miljørelaterede skatter stam</w:t>
      </w:r>
      <w:r>
        <w:softHyphen/>
        <w:t>mer fra Danmarks Statistiks miljøøkonomiske regnskab for Danmark. Miljøøko</w:t>
      </w:r>
      <w:r>
        <w:softHyphen/>
        <w:t>nomiske regnskaber (grønne nationalregnskaber) er en betegnelse for selvstændige regnskaber for miljørelaterede forhold, der opstilles i tilknytning til nationalregn</w:t>
      </w:r>
      <w:r>
        <w:softHyphen/>
        <w:t>skabet under anvendelse af samme afgrænsninger, definitioner og klassifikationer. Derved kan sammenhængen mellem økonomi og miljø belyses på en logisk måde.</w:t>
      </w:r>
    </w:p>
    <w:p w:rsidR="0033207B" w:rsidRDefault="0033207B" w:rsidP="0033207B">
      <w:pPr>
        <w:spacing w:line="264" w:lineRule="auto"/>
        <w:jc w:val="left"/>
      </w:pPr>
    </w:p>
    <w:p w:rsidR="0033207B" w:rsidRDefault="0033207B" w:rsidP="0033207B">
      <w:pPr>
        <w:spacing w:line="264" w:lineRule="auto"/>
      </w:pPr>
      <w:r>
        <w:t>Danmarks Statistik udgiver fra 30. september 2013 nye miljøøkonomiske regnska</w:t>
      </w:r>
      <w:r>
        <w:softHyphen/>
        <w:t>ber for områderne udslip til luft, materialestrømme og miljøskatter opstillet i hen</w:t>
      </w:r>
      <w:r>
        <w:softHyphen/>
        <w:t xml:space="preserve">hold til de internationale retningslinjer i System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Ac</w:t>
      </w:r>
      <w:r>
        <w:softHyphen/>
        <w:t>counting (SEEA) samt efter principperne fastlagt for miljøøkonomiske regnskaber, der er reguleret af Europa-Parlamentets og Rådets forordning nr. 691/2011 om europæiske miljøøkonomiske regnskaber.</w:t>
      </w:r>
    </w:p>
    <w:p w:rsidR="000B21F3" w:rsidRPr="00A72A27" w:rsidRDefault="000B21F3">
      <w:pPr>
        <w:spacing w:before="40" w:after="40"/>
        <w:jc w:val="left"/>
        <w:rPr>
          <w:lang w:val="de-DE"/>
        </w:rPr>
      </w:pPr>
    </w:p>
    <w:sectPr w:rsidR="000B21F3" w:rsidRPr="00A72A27" w:rsidSect="00A72CE6">
      <w:headerReference w:type="default" r:id="rId10"/>
      <w:pgSz w:w="11906" w:h="16838"/>
      <w:pgMar w:top="1134" w:right="992" w:bottom="1134" w:left="3543" w:header="567" w:footer="5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CD" w:rsidRDefault="00FE5DCD" w:rsidP="000560D9">
      <w:r>
        <w:separator/>
      </w:r>
    </w:p>
  </w:endnote>
  <w:endnote w:type="continuationSeparator" w:id="0">
    <w:p w:rsidR="00FE5DCD" w:rsidRDefault="00FE5DCD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COAI O+ Charter ITC">
    <w:altName w:val="Char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CD" w:rsidRDefault="00FE5DCD" w:rsidP="000560D9">
      <w:r>
        <w:separator/>
      </w:r>
    </w:p>
  </w:footnote>
  <w:footnote w:type="continuationSeparator" w:id="0">
    <w:p w:rsidR="00FE5DCD" w:rsidRDefault="00FE5DCD" w:rsidP="000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Ind w:w="-27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6803"/>
    </w:tblGrid>
    <w:tr w:rsidR="002C5962" w:rsidTr="002C5962">
      <w:tc>
        <w:tcPr>
          <w:tcW w:w="3401" w:type="dxa"/>
          <w:shd w:val="clear" w:color="auto" w:fill="auto"/>
        </w:tcPr>
        <w:p w:rsidR="002C5962" w:rsidRDefault="002C5962" w:rsidP="002C5962">
          <w:pPr>
            <w:pStyle w:val="Sidehoved"/>
            <w:ind w:left="0"/>
          </w:pPr>
          <w:r>
            <w:rPr>
              <w:noProof/>
            </w:rPr>
            <w:drawing>
              <wp:inline distT="0" distB="0" distL="0" distR="0" wp14:anchorId="7CD08312" wp14:editId="66414A73">
                <wp:extent cx="1691643" cy="722377"/>
                <wp:effectExtent l="0" t="0" r="3810" b="1905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3" cy="722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2CE6" w:rsidRDefault="00A30634" w:rsidP="00A72CE6">
          <w:pPr>
            <w:pStyle w:val="Sidehoved"/>
            <w:tabs>
              <w:tab w:val="clear" w:pos="4252"/>
              <w:tab w:val="clear" w:pos="8504"/>
              <w:tab w:val="left" w:pos="1928"/>
            </w:tabs>
            <w:spacing w:before="80"/>
            <w:ind w:left="0"/>
            <w:jc w:val="both"/>
            <w:rPr>
              <w:rFonts w:ascii="Arial" w:hAnsi="Arial" w:cs="Arial"/>
              <w:color w:val="008CFF"/>
              <w:sz w:val="18"/>
            </w:rPr>
          </w:pPr>
          <w:r>
            <w:rPr>
              <w:rFonts w:ascii="Arial" w:hAnsi="Arial" w:cs="Arial"/>
              <w:color w:val="008CFF"/>
              <w:sz w:val="18"/>
            </w:rPr>
            <w:t>2</w:t>
          </w:r>
          <w:r w:rsidR="002C5962">
            <w:rPr>
              <w:rFonts w:ascii="Arial" w:hAnsi="Arial" w:cs="Arial"/>
              <w:color w:val="008CFF"/>
              <w:sz w:val="18"/>
            </w:rPr>
            <w:t xml:space="preserve">. </w:t>
          </w:r>
          <w:r>
            <w:rPr>
              <w:rFonts w:ascii="Arial" w:hAnsi="Arial" w:cs="Arial"/>
              <w:color w:val="008CFF"/>
              <w:sz w:val="18"/>
            </w:rPr>
            <w:t>okto</w:t>
          </w:r>
          <w:r w:rsidR="002C5962">
            <w:rPr>
              <w:rFonts w:ascii="Arial" w:hAnsi="Arial" w:cs="Arial"/>
              <w:color w:val="008CFF"/>
              <w:sz w:val="18"/>
            </w:rPr>
            <w:t>ber 2013</w:t>
          </w:r>
          <w:r w:rsidR="002C5962">
            <w:rPr>
              <w:rFonts w:ascii="Arial" w:hAnsi="Arial" w:cs="Arial"/>
              <w:color w:val="008CFF"/>
              <w:sz w:val="18"/>
            </w:rPr>
            <w:tab/>
            <w:t xml:space="preserve">Nr. </w:t>
          </w:r>
        </w:p>
        <w:p w:rsidR="002C5962" w:rsidRPr="002C5962" w:rsidRDefault="002C5962" w:rsidP="00A72CE6">
          <w:pPr>
            <w:pStyle w:val="Sidehoved"/>
            <w:tabs>
              <w:tab w:val="clear" w:pos="4252"/>
              <w:tab w:val="clear" w:pos="8504"/>
              <w:tab w:val="left" w:pos="1928"/>
            </w:tabs>
            <w:spacing w:before="80"/>
            <w:ind w:left="0"/>
            <w:jc w:val="both"/>
            <w:rPr>
              <w:rFonts w:ascii="Arial" w:hAnsi="Arial" w:cs="Arial"/>
              <w:color w:val="008CFF"/>
              <w:sz w:val="18"/>
            </w:rPr>
          </w:pPr>
          <w:r>
            <w:rPr>
              <w:rFonts w:ascii="Arial" w:hAnsi="Arial" w:cs="Arial"/>
              <w:color w:val="008CFF"/>
              <w:sz w:val="18"/>
            </w:rPr>
            <w:t xml:space="preserve">  </w:t>
          </w:r>
        </w:p>
      </w:tc>
      <w:tc>
        <w:tcPr>
          <w:tcW w:w="6803" w:type="dxa"/>
          <w:shd w:val="clear" w:color="auto" w:fill="auto"/>
        </w:tcPr>
        <w:p w:rsidR="002C5962" w:rsidRDefault="002C5962" w:rsidP="00A72CE6">
          <w:pPr>
            <w:pStyle w:val="Sidehoved"/>
            <w:spacing w:before="80"/>
            <w:ind w:left="0"/>
            <w:jc w:val="right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Miljøøkonomisk regnskab </w:t>
          </w:r>
          <w:r w:rsidR="00A72CE6">
            <w:rPr>
              <w:rFonts w:ascii="Arial" w:hAnsi="Arial" w:cs="Arial"/>
              <w:b/>
              <w:sz w:val="22"/>
            </w:rPr>
            <w:br/>
          </w:r>
          <w:r>
            <w:rPr>
              <w:rFonts w:ascii="Arial" w:hAnsi="Arial" w:cs="Arial"/>
              <w:b/>
              <w:sz w:val="22"/>
            </w:rPr>
            <w:t>201</w:t>
          </w:r>
          <w:r w:rsidR="00CA67D6">
            <w:rPr>
              <w:rFonts w:ascii="Arial" w:hAnsi="Arial" w:cs="Arial"/>
              <w:b/>
              <w:sz w:val="22"/>
            </w:rPr>
            <w:t>3</w:t>
          </w:r>
        </w:p>
        <w:p w:rsidR="002C5962" w:rsidRPr="002C5962" w:rsidRDefault="002C5962" w:rsidP="002C5962">
          <w:pPr>
            <w:pStyle w:val="Sidehoved"/>
            <w:spacing w:before="80"/>
            <w:ind w:left="0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Miljø og energi</w:t>
          </w:r>
        </w:p>
      </w:tc>
    </w:tr>
  </w:tbl>
  <w:p w:rsidR="002C5962" w:rsidRPr="002C5962" w:rsidRDefault="002C5962" w:rsidP="002C596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8C6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98C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8C4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4C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205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E86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C5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61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892C40"/>
    <w:multiLevelType w:val="singleLevel"/>
    <w:tmpl w:val="C9402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9">
    <w:nsid w:val="04EF78DF"/>
    <w:multiLevelType w:val="singleLevel"/>
    <w:tmpl w:val="EF88C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0">
    <w:nsid w:val="06EA6E38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20A176A7"/>
    <w:multiLevelType w:val="singleLevel"/>
    <w:tmpl w:val="CC9C1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2">
    <w:nsid w:val="226E1B44"/>
    <w:multiLevelType w:val="singleLevel"/>
    <w:tmpl w:val="DD4E9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3">
    <w:nsid w:val="23E82851"/>
    <w:multiLevelType w:val="hybridMultilevel"/>
    <w:tmpl w:val="572A5D5C"/>
    <w:lvl w:ilvl="0" w:tplc="55D2AF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B6C07C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268A0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440CF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182C0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E862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2E83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4CFA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78DB6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6710E9"/>
    <w:multiLevelType w:val="hybridMultilevel"/>
    <w:tmpl w:val="FE7092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269DE"/>
    <w:multiLevelType w:val="singleLevel"/>
    <w:tmpl w:val="C726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6">
    <w:nsid w:val="561B108D"/>
    <w:multiLevelType w:val="singleLevel"/>
    <w:tmpl w:val="E8CE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7">
    <w:nsid w:val="6395209D"/>
    <w:multiLevelType w:val="singleLevel"/>
    <w:tmpl w:val="8E586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8">
    <w:nsid w:val="66CB4AE6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FF166E"/>
    <w:multiLevelType w:val="singleLevel"/>
    <w:tmpl w:val="D79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20">
    <w:nsid w:val="744E1A49"/>
    <w:multiLevelType w:val="hybridMultilevel"/>
    <w:tmpl w:val="910624AE"/>
    <w:lvl w:ilvl="0" w:tplc="42120EC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/>
      </w:rPr>
    </w:lvl>
    <w:lvl w:ilvl="1" w:tplc="BF769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9B66F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BAEA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3CC3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86B3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D075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88D8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02DE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9"/>
  </w:num>
  <w:num w:numId="5">
    <w:abstractNumId w:val="12"/>
  </w:num>
  <w:num w:numId="6">
    <w:abstractNumId w:val="18"/>
  </w:num>
  <w:num w:numId="7">
    <w:abstractNumId w:val="17"/>
  </w:num>
  <w:num w:numId="8">
    <w:abstractNumId w:val="8"/>
  </w:num>
  <w:num w:numId="9">
    <w:abstractNumId w:val="11"/>
  </w:num>
  <w:num w:numId="10">
    <w:abstractNumId w:val="16"/>
  </w:num>
  <w:num w:numId="11">
    <w:abstractNumId w:val="13"/>
  </w:num>
  <w:num w:numId="12">
    <w:abstractNumId w:val="20"/>
  </w:num>
  <w:num w:numId="13">
    <w:abstractNumId w:val="20"/>
  </w:num>
  <w:num w:numId="14">
    <w:abstractNumId w:val="2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nyt"/>
  </w:docVars>
  <w:rsids>
    <w:rsidRoot w:val="002C5962"/>
    <w:rsid w:val="0000101A"/>
    <w:rsid w:val="00007842"/>
    <w:rsid w:val="000165DE"/>
    <w:rsid w:val="000168F5"/>
    <w:rsid w:val="0002095E"/>
    <w:rsid w:val="00023801"/>
    <w:rsid w:val="00026743"/>
    <w:rsid w:val="00044ADE"/>
    <w:rsid w:val="000560D9"/>
    <w:rsid w:val="00056FEA"/>
    <w:rsid w:val="000616D1"/>
    <w:rsid w:val="00073CAD"/>
    <w:rsid w:val="00074B60"/>
    <w:rsid w:val="00082F65"/>
    <w:rsid w:val="00094B6A"/>
    <w:rsid w:val="000A4899"/>
    <w:rsid w:val="000B21F3"/>
    <w:rsid w:val="000B268E"/>
    <w:rsid w:val="000B7238"/>
    <w:rsid w:val="000C452D"/>
    <w:rsid w:val="000C53F3"/>
    <w:rsid w:val="000D6A09"/>
    <w:rsid w:val="000F4E5F"/>
    <w:rsid w:val="001513EA"/>
    <w:rsid w:val="00152687"/>
    <w:rsid w:val="0015415B"/>
    <w:rsid w:val="00182874"/>
    <w:rsid w:val="0019378A"/>
    <w:rsid w:val="00194675"/>
    <w:rsid w:val="001A1EDD"/>
    <w:rsid w:val="001B659E"/>
    <w:rsid w:val="001B746E"/>
    <w:rsid w:val="001B7F09"/>
    <w:rsid w:val="001C23F1"/>
    <w:rsid w:val="001D3E3F"/>
    <w:rsid w:val="00205A2D"/>
    <w:rsid w:val="00214DF2"/>
    <w:rsid w:val="00227745"/>
    <w:rsid w:val="00244974"/>
    <w:rsid w:val="0025258C"/>
    <w:rsid w:val="00262771"/>
    <w:rsid w:val="0026305B"/>
    <w:rsid w:val="00285C7B"/>
    <w:rsid w:val="00292399"/>
    <w:rsid w:val="00295C68"/>
    <w:rsid w:val="002963DA"/>
    <w:rsid w:val="002B0665"/>
    <w:rsid w:val="002B0ADB"/>
    <w:rsid w:val="002C5962"/>
    <w:rsid w:val="002D575D"/>
    <w:rsid w:val="002E20BB"/>
    <w:rsid w:val="002F0D06"/>
    <w:rsid w:val="002F294A"/>
    <w:rsid w:val="00301E0D"/>
    <w:rsid w:val="0032032C"/>
    <w:rsid w:val="00323499"/>
    <w:rsid w:val="0033207B"/>
    <w:rsid w:val="003339FB"/>
    <w:rsid w:val="00352F86"/>
    <w:rsid w:val="003711D5"/>
    <w:rsid w:val="00384BDB"/>
    <w:rsid w:val="00394580"/>
    <w:rsid w:val="003A5D30"/>
    <w:rsid w:val="003B2E27"/>
    <w:rsid w:val="003B2FE1"/>
    <w:rsid w:val="003C0249"/>
    <w:rsid w:val="003C139D"/>
    <w:rsid w:val="003C71F3"/>
    <w:rsid w:val="003D3132"/>
    <w:rsid w:val="003E50EC"/>
    <w:rsid w:val="00421208"/>
    <w:rsid w:val="0043327C"/>
    <w:rsid w:val="00437AD7"/>
    <w:rsid w:val="00442FED"/>
    <w:rsid w:val="00443347"/>
    <w:rsid w:val="004468D6"/>
    <w:rsid w:val="0046797B"/>
    <w:rsid w:val="004679AD"/>
    <w:rsid w:val="004A0F48"/>
    <w:rsid w:val="004B1B1D"/>
    <w:rsid w:val="004C6365"/>
    <w:rsid w:val="004C6597"/>
    <w:rsid w:val="004D0AD3"/>
    <w:rsid w:val="004D0BA7"/>
    <w:rsid w:val="004F220B"/>
    <w:rsid w:val="004F47C0"/>
    <w:rsid w:val="004F69F3"/>
    <w:rsid w:val="004F7A12"/>
    <w:rsid w:val="00501664"/>
    <w:rsid w:val="0050602B"/>
    <w:rsid w:val="005129D3"/>
    <w:rsid w:val="00524410"/>
    <w:rsid w:val="005278B9"/>
    <w:rsid w:val="00532416"/>
    <w:rsid w:val="00534D82"/>
    <w:rsid w:val="00545B9F"/>
    <w:rsid w:val="00592600"/>
    <w:rsid w:val="005B3F54"/>
    <w:rsid w:val="005B464C"/>
    <w:rsid w:val="005B486A"/>
    <w:rsid w:val="005C5D8C"/>
    <w:rsid w:val="005C6406"/>
    <w:rsid w:val="005D02D2"/>
    <w:rsid w:val="005E299A"/>
    <w:rsid w:val="005F70E8"/>
    <w:rsid w:val="00602EB6"/>
    <w:rsid w:val="00607944"/>
    <w:rsid w:val="00610D48"/>
    <w:rsid w:val="006162D4"/>
    <w:rsid w:val="00616D85"/>
    <w:rsid w:val="00623A1B"/>
    <w:rsid w:val="00653061"/>
    <w:rsid w:val="0065672A"/>
    <w:rsid w:val="00665EE8"/>
    <w:rsid w:val="006877B4"/>
    <w:rsid w:val="00691EE3"/>
    <w:rsid w:val="006B0BC0"/>
    <w:rsid w:val="006B4DFD"/>
    <w:rsid w:val="006D7846"/>
    <w:rsid w:val="006F0385"/>
    <w:rsid w:val="006F3419"/>
    <w:rsid w:val="006F7A17"/>
    <w:rsid w:val="007142B2"/>
    <w:rsid w:val="007359E9"/>
    <w:rsid w:val="00754CA7"/>
    <w:rsid w:val="00765A78"/>
    <w:rsid w:val="00774A4C"/>
    <w:rsid w:val="007A6EBE"/>
    <w:rsid w:val="007B1055"/>
    <w:rsid w:val="007B1673"/>
    <w:rsid w:val="007B4452"/>
    <w:rsid w:val="007C6016"/>
    <w:rsid w:val="007E0E1B"/>
    <w:rsid w:val="00800962"/>
    <w:rsid w:val="00805EBA"/>
    <w:rsid w:val="00820334"/>
    <w:rsid w:val="00822A12"/>
    <w:rsid w:val="00823F75"/>
    <w:rsid w:val="008314C2"/>
    <w:rsid w:val="008338D3"/>
    <w:rsid w:val="00836783"/>
    <w:rsid w:val="00840163"/>
    <w:rsid w:val="008553C1"/>
    <w:rsid w:val="008577EB"/>
    <w:rsid w:val="0089448B"/>
    <w:rsid w:val="008A23DC"/>
    <w:rsid w:val="008B16D6"/>
    <w:rsid w:val="008E0BEF"/>
    <w:rsid w:val="008F397A"/>
    <w:rsid w:val="009144C1"/>
    <w:rsid w:val="009214B4"/>
    <w:rsid w:val="009223CC"/>
    <w:rsid w:val="00922932"/>
    <w:rsid w:val="00922F5E"/>
    <w:rsid w:val="00936597"/>
    <w:rsid w:val="00941024"/>
    <w:rsid w:val="0094286D"/>
    <w:rsid w:val="00967DEE"/>
    <w:rsid w:val="00970FE5"/>
    <w:rsid w:val="00981DB4"/>
    <w:rsid w:val="009B453E"/>
    <w:rsid w:val="009E331D"/>
    <w:rsid w:val="00A03E66"/>
    <w:rsid w:val="00A126D0"/>
    <w:rsid w:val="00A26599"/>
    <w:rsid w:val="00A30634"/>
    <w:rsid w:val="00A373B8"/>
    <w:rsid w:val="00A41DCD"/>
    <w:rsid w:val="00A45679"/>
    <w:rsid w:val="00A72A27"/>
    <w:rsid w:val="00A72CE6"/>
    <w:rsid w:val="00A90AFE"/>
    <w:rsid w:val="00A920C5"/>
    <w:rsid w:val="00AC29F8"/>
    <w:rsid w:val="00AC6F85"/>
    <w:rsid w:val="00AC7CF3"/>
    <w:rsid w:val="00AD31C3"/>
    <w:rsid w:val="00AF0F0F"/>
    <w:rsid w:val="00AF3AA6"/>
    <w:rsid w:val="00B247EA"/>
    <w:rsid w:val="00B32564"/>
    <w:rsid w:val="00B32613"/>
    <w:rsid w:val="00B43C82"/>
    <w:rsid w:val="00B47741"/>
    <w:rsid w:val="00B50774"/>
    <w:rsid w:val="00B85B66"/>
    <w:rsid w:val="00B966DA"/>
    <w:rsid w:val="00BA5C10"/>
    <w:rsid w:val="00BB04C3"/>
    <w:rsid w:val="00BB6E02"/>
    <w:rsid w:val="00BC1571"/>
    <w:rsid w:val="00BE08DD"/>
    <w:rsid w:val="00C05269"/>
    <w:rsid w:val="00C21D44"/>
    <w:rsid w:val="00C3034E"/>
    <w:rsid w:val="00C53016"/>
    <w:rsid w:val="00C54550"/>
    <w:rsid w:val="00C55A13"/>
    <w:rsid w:val="00C6177E"/>
    <w:rsid w:val="00C70408"/>
    <w:rsid w:val="00C80EEF"/>
    <w:rsid w:val="00CA4ABB"/>
    <w:rsid w:val="00CA67D6"/>
    <w:rsid w:val="00CC208F"/>
    <w:rsid w:val="00CD01A0"/>
    <w:rsid w:val="00CD3309"/>
    <w:rsid w:val="00CD3922"/>
    <w:rsid w:val="00CE36F0"/>
    <w:rsid w:val="00CF1D55"/>
    <w:rsid w:val="00D05FAF"/>
    <w:rsid w:val="00D12BD0"/>
    <w:rsid w:val="00D13CE9"/>
    <w:rsid w:val="00D2582F"/>
    <w:rsid w:val="00D268B6"/>
    <w:rsid w:val="00D37B06"/>
    <w:rsid w:val="00D67B9F"/>
    <w:rsid w:val="00D80CA6"/>
    <w:rsid w:val="00D82CCD"/>
    <w:rsid w:val="00D87D21"/>
    <w:rsid w:val="00DB4975"/>
    <w:rsid w:val="00DC18D9"/>
    <w:rsid w:val="00DD7B51"/>
    <w:rsid w:val="00E0417E"/>
    <w:rsid w:val="00E169AB"/>
    <w:rsid w:val="00E2275B"/>
    <w:rsid w:val="00E3320C"/>
    <w:rsid w:val="00E34333"/>
    <w:rsid w:val="00E45CFA"/>
    <w:rsid w:val="00E6361F"/>
    <w:rsid w:val="00E72A84"/>
    <w:rsid w:val="00E85241"/>
    <w:rsid w:val="00E87221"/>
    <w:rsid w:val="00EA70E5"/>
    <w:rsid w:val="00EC7D82"/>
    <w:rsid w:val="00ED2284"/>
    <w:rsid w:val="00ED52B9"/>
    <w:rsid w:val="00ED7557"/>
    <w:rsid w:val="00ED7870"/>
    <w:rsid w:val="00EF6E3A"/>
    <w:rsid w:val="00F24503"/>
    <w:rsid w:val="00F357F4"/>
    <w:rsid w:val="00F51E2D"/>
    <w:rsid w:val="00F778C4"/>
    <w:rsid w:val="00F811B1"/>
    <w:rsid w:val="00F86100"/>
    <w:rsid w:val="00F9200D"/>
    <w:rsid w:val="00F97A9C"/>
    <w:rsid w:val="00FA2067"/>
    <w:rsid w:val="00FA485A"/>
    <w:rsid w:val="00FB0784"/>
    <w:rsid w:val="00FB0A79"/>
    <w:rsid w:val="00FB2A6B"/>
    <w:rsid w:val="00FB4231"/>
    <w:rsid w:val="00FC0F46"/>
    <w:rsid w:val="00FC34E5"/>
    <w:rsid w:val="00FE5DCD"/>
    <w:rsid w:val="00FE640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D9"/>
    <w:pPr>
      <w:overflowPunct w:val="0"/>
      <w:autoSpaceDE w:val="0"/>
      <w:autoSpaceDN w:val="0"/>
      <w:adjustRightInd w:val="0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/>
      <w:jc w:val="left"/>
      <w:outlineLvl w:val="0"/>
    </w:pPr>
    <w:rPr>
      <w:rFonts w:ascii="Arial" w:hAnsi="Arial" w:cs="Arial"/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C18D9"/>
    <w:pPr>
      <w:keepNext/>
      <w:keepLines/>
      <w:spacing w:after="40"/>
      <w:jc w:val="left"/>
    </w:pPr>
    <w:rPr>
      <w:rFonts w:ascii="Arial Narrow" w:hAnsi="Arial Narrow"/>
      <w:b/>
    </w:rPr>
  </w:style>
  <w:style w:type="paragraph" w:customStyle="1" w:styleId="FigurOverskrift">
    <w:name w:val="FigurOverskrift"/>
    <w:basedOn w:val="Tabeloverskrift"/>
    <w:next w:val="Normal"/>
    <w:rsid w:val="00437AD7"/>
    <w:pPr>
      <w:spacing w:after="60"/>
    </w:pPr>
    <w:rPr>
      <w:rFonts w:cs="Arial"/>
      <w:b w:val="0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2C5962"/>
    <w:pPr>
      <w:keepNext/>
      <w:framePr w:w="2268" w:hSpace="283" w:wrap="notBeside" w:vAnchor="text" w:hAnchor="page" w:y="1"/>
      <w:suppressAutoHyphens/>
      <w:spacing w:line="240" w:lineRule="exact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link w:val="StdCelleTegn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StdCelleTegn">
    <w:name w:val="StdCelle Tegn"/>
    <w:link w:val="StdCelle"/>
    <w:rsid w:val="0015415B"/>
    <w:rPr>
      <w:rFonts w:ascii="Arial Narrow" w:hAnsi="Arial Narrow"/>
      <w:sz w:val="18"/>
    </w:rPr>
  </w:style>
  <w:style w:type="paragraph" w:styleId="Listeafsnit">
    <w:name w:val="List Paragraph"/>
    <w:basedOn w:val="Normal"/>
    <w:uiPriority w:val="34"/>
    <w:qFormat/>
    <w:rsid w:val="00A72CE6"/>
    <w:pPr>
      <w:ind w:left="720"/>
      <w:contextualSpacing/>
    </w:pPr>
  </w:style>
  <w:style w:type="paragraph" w:customStyle="1" w:styleId="Default">
    <w:name w:val="Default"/>
    <w:rsid w:val="000B7238"/>
    <w:pPr>
      <w:autoSpaceDE w:val="0"/>
      <w:autoSpaceDN w:val="0"/>
      <w:adjustRightInd w:val="0"/>
    </w:pPr>
    <w:rPr>
      <w:rFonts w:ascii="JCOAI O+ Charter ITC" w:hAnsi="JCOAI O+ Charter ITC" w:cs="JCOAI O+ Charter IT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D9"/>
    <w:pPr>
      <w:overflowPunct w:val="0"/>
      <w:autoSpaceDE w:val="0"/>
      <w:autoSpaceDN w:val="0"/>
      <w:adjustRightInd w:val="0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/>
      <w:jc w:val="left"/>
      <w:outlineLvl w:val="0"/>
    </w:pPr>
    <w:rPr>
      <w:rFonts w:ascii="Arial" w:hAnsi="Arial" w:cs="Arial"/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C18D9"/>
    <w:pPr>
      <w:keepNext/>
      <w:keepLines/>
      <w:spacing w:after="40"/>
      <w:jc w:val="left"/>
    </w:pPr>
    <w:rPr>
      <w:rFonts w:ascii="Arial Narrow" w:hAnsi="Arial Narrow"/>
      <w:b/>
    </w:rPr>
  </w:style>
  <w:style w:type="paragraph" w:customStyle="1" w:styleId="FigurOverskrift">
    <w:name w:val="FigurOverskrift"/>
    <w:basedOn w:val="Tabeloverskrift"/>
    <w:next w:val="Normal"/>
    <w:rsid w:val="00437AD7"/>
    <w:pPr>
      <w:spacing w:after="60"/>
    </w:pPr>
    <w:rPr>
      <w:rFonts w:cs="Arial"/>
      <w:b w:val="0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2C5962"/>
    <w:pPr>
      <w:keepNext/>
      <w:framePr w:w="2268" w:hSpace="283" w:wrap="notBeside" w:vAnchor="text" w:hAnchor="page" w:y="1"/>
      <w:suppressAutoHyphens/>
      <w:spacing w:line="240" w:lineRule="exact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link w:val="StdCelleTegn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StdCelleTegn">
    <w:name w:val="StdCelle Tegn"/>
    <w:link w:val="StdCelle"/>
    <w:rsid w:val="0015415B"/>
    <w:rPr>
      <w:rFonts w:ascii="Arial Narrow" w:hAnsi="Arial Narrow"/>
      <w:sz w:val="18"/>
    </w:rPr>
  </w:style>
  <w:style w:type="paragraph" w:styleId="Listeafsnit">
    <w:name w:val="List Paragraph"/>
    <w:basedOn w:val="Normal"/>
    <w:uiPriority w:val="34"/>
    <w:qFormat/>
    <w:rsid w:val="00A72CE6"/>
    <w:pPr>
      <w:ind w:left="720"/>
      <w:contextualSpacing/>
    </w:pPr>
  </w:style>
  <w:style w:type="paragraph" w:customStyle="1" w:styleId="Default">
    <w:name w:val="Default"/>
    <w:rsid w:val="000B7238"/>
    <w:pPr>
      <w:autoSpaceDE w:val="0"/>
      <w:autoSpaceDN w:val="0"/>
      <w:adjustRightInd w:val="0"/>
    </w:pPr>
    <w:rPr>
      <w:rFonts w:ascii="JCOAI O+ Charter ITC" w:hAnsi="JCOAI O+ Charter ITC" w:cs="JCOAI O+ Charter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C50E-1811-4753-98F0-2AB6FDB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0</TotalTime>
  <Pages>2</Pages>
  <Words>470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Gravgård Pedersen</dc:creator>
  <cp:lastModifiedBy>Ole Gravgård Pedersen</cp:lastModifiedBy>
  <cp:revision>2</cp:revision>
  <cp:lastPrinted>2013-09-30T15:37:00Z</cp:lastPrinted>
  <dcterms:created xsi:type="dcterms:W3CDTF">2013-09-30T16:33:00Z</dcterms:created>
  <dcterms:modified xsi:type="dcterms:W3CDTF">2013-09-30T16:33:00Z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